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45FE7" w14:textId="77777777" w:rsidR="00C741D3" w:rsidRDefault="00DF2525">
      <w:pPr>
        <w:pStyle w:val="Heading1"/>
      </w:pPr>
      <w:r>
        <w:t>ReliaQuest Innovation Challenge Fund Webinar – Q&amp;A</w:t>
      </w:r>
    </w:p>
    <w:p w14:paraId="269FE973" w14:textId="77777777" w:rsidR="00C741D3" w:rsidRDefault="00DF2525">
      <w:pPr>
        <w:pStyle w:val="Heading2"/>
      </w:pPr>
      <w:r>
        <w:t>Who is eligible to apply?</w:t>
      </w:r>
    </w:p>
    <w:p w14:paraId="5FCBB405" w14:textId="77777777" w:rsidR="00C741D3" w:rsidRDefault="00DF2525">
      <w:r>
        <w:t>Full‑time FSU faculty, staff, or postdoctoral scholars may serve as PIs. Multidisciplinary teams are encouraged. Students may participate as team members but may not serve as PI.</w:t>
      </w:r>
    </w:p>
    <w:p w14:paraId="24C61C74" w14:textId="77777777" w:rsidR="00C741D3" w:rsidRDefault="00DF2525">
      <w:pPr>
        <w:pStyle w:val="Heading2"/>
      </w:pPr>
      <w:r>
        <w:t>What is the funding amount and project period?</w:t>
      </w:r>
    </w:p>
    <w:p w14:paraId="5F3E528C" w14:textId="77777777" w:rsidR="00C741D3" w:rsidRDefault="00DF2525">
      <w:r>
        <w:t>Up to $30,000 in seed funding per project for an approximately four‑month project period (June–October 2026).</w:t>
      </w:r>
    </w:p>
    <w:p w14:paraId="74F1BED7" w14:textId="77777777" w:rsidR="00C741D3" w:rsidRDefault="00DF2525">
      <w:pPr>
        <w:pStyle w:val="Heading2"/>
      </w:pPr>
      <w:r>
        <w:t>How many projects will be funded in Stage 1?</w:t>
      </w:r>
    </w:p>
    <w:p w14:paraId="79333337" w14:textId="77777777" w:rsidR="00C741D3" w:rsidRDefault="00DF2525">
      <w:r>
        <w:t>Up to six projects will be selected to receive seed funding.</w:t>
      </w:r>
    </w:p>
    <w:p w14:paraId="3C40C196" w14:textId="77777777" w:rsidR="00C741D3" w:rsidRDefault="00DF2525">
      <w:pPr>
        <w:pStyle w:val="Heading2"/>
      </w:pPr>
      <w:r>
        <w:t>What are the challenge areas?</w:t>
      </w:r>
    </w:p>
    <w:p w14:paraId="1B4F7408" w14:textId="77777777" w:rsidR="00C741D3" w:rsidRDefault="00DF2525">
      <w:r>
        <w:t>The three challenge areas are: (1) AI accuracy and tracking; (2) Data sensitivity classification; and (3) Knowledge graph integration.</w:t>
      </w:r>
    </w:p>
    <w:p w14:paraId="522316E5" w14:textId="77777777" w:rsidR="00C741D3" w:rsidRDefault="00DF2525">
      <w:pPr>
        <w:pStyle w:val="Heading2"/>
      </w:pPr>
      <w:r>
        <w:t>Can one PI submit multiple proposals?</w:t>
      </w:r>
    </w:p>
    <w:p w14:paraId="27322DAE" w14:textId="77777777" w:rsidR="00C741D3" w:rsidRDefault="00DF2525">
      <w:r>
        <w:t>A person may only be PI on one proposal, but may serve as co‑PI on multiple proposals.</w:t>
      </w:r>
    </w:p>
    <w:p w14:paraId="4B0F218F" w14:textId="77777777" w:rsidR="00C741D3" w:rsidRDefault="00DF2525">
      <w:pPr>
        <w:pStyle w:val="Heading2"/>
      </w:pPr>
      <w:r>
        <w:t>What materials are required for submission?</w:t>
      </w:r>
    </w:p>
    <w:p w14:paraId="1E875161" w14:textId="77777777" w:rsidR="00C741D3" w:rsidRDefault="00DF2525">
      <w:r>
        <w:t>A 250‑word abstract, title page, a proposal description (maximum two pages, no appendices), a two‑page CV, and a one‑page budget.</w:t>
      </w:r>
    </w:p>
    <w:p w14:paraId="4849B554" w14:textId="77777777" w:rsidR="00C741D3" w:rsidRDefault="00DF2525">
      <w:pPr>
        <w:pStyle w:val="Heading2"/>
      </w:pPr>
      <w:r>
        <w:t>Who reviews proposals?</w:t>
      </w:r>
    </w:p>
    <w:p w14:paraId="4EBE2F1B" w14:textId="77777777" w:rsidR="00C741D3" w:rsidRDefault="00DF2525">
      <w:r>
        <w:t>FSU will conduct an initial review to narrow submissions. ReliaQuest partners will assist in selecting the six finalist projects.</w:t>
      </w:r>
    </w:p>
    <w:p w14:paraId="7122059C" w14:textId="77777777" w:rsidR="00C741D3" w:rsidRDefault="00DF2525">
      <w:pPr>
        <w:pStyle w:val="Heading2"/>
      </w:pPr>
      <w:r>
        <w:t>Does each challenge area receive the same number of awards?</w:t>
      </w:r>
    </w:p>
    <w:p w14:paraId="413E139A" w14:textId="77777777" w:rsidR="00C741D3" w:rsidRDefault="00DF2525">
      <w:r>
        <w:t>Not necessarily. Awards will be made to the six strongest proposals overall, regardless of challenge‑area balance.</w:t>
      </w:r>
    </w:p>
    <w:p w14:paraId="0582E460" w14:textId="77777777" w:rsidR="00C741D3" w:rsidRDefault="00DF2525">
      <w:pPr>
        <w:pStyle w:val="Heading2"/>
      </w:pPr>
      <w:r>
        <w:t>What happens in Stage 2?</w:t>
      </w:r>
    </w:p>
    <w:p w14:paraId="097FD9CC" w14:textId="77777777" w:rsidR="00C741D3" w:rsidRDefault="00DF2525">
      <w:r>
        <w:t>Stage 2 consists of a live pitching competition at Discovery Days on October 19, 2026, where teams present their proof‑of‑concept solutions.</w:t>
      </w:r>
    </w:p>
    <w:p w14:paraId="08D30CF4" w14:textId="77777777" w:rsidR="00C741D3" w:rsidRDefault="00DF2525">
      <w:pPr>
        <w:pStyle w:val="Heading2"/>
      </w:pPr>
      <w:r>
        <w:t>What additional funding is available in Stage 2?</w:t>
      </w:r>
    </w:p>
    <w:p w14:paraId="23A495B4" w14:textId="77777777" w:rsidR="00C741D3" w:rsidRDefault="00DF2525">
      <w:r>
        <w:t>Up to $200,000 in prizes: one $100,000 first prize and two $50,000 second/third prizes to support follow‑on development.</w:t>
      </w:r>
    </w:p>
    <w:p w14:paraId="7C0FE28B" w14:textId="77777777" w:rsidR="00C741D3" w:rsidRDefault="00DF2525">
      <w:pPr>
        <w:pStyle w:val="Heading2"/>
      </w:pPr>
      <w:r>
        <w:lastRenderedPageBreak/>
        <w:t>Will pitch coaching be provided?</w:t>
      </w:r>
    </w:p>
    <w:p w14:paraId="0872EBA1" w14:textId="77777777" w:rsidR="00C741D3" w:rsidRDefault="00DF2525">
      <w:r>
        <w:t>Yes. Awardees will participate in pitch workshops and coaching sessions, likely in September, and prepare a 5–7 minute presentation.</w:t>
      </w:r>
    </w:p>
    <w:p w14:paraId="3BC64027" w14:textId="77777777" w:rsidR="00C741D3" w:rsidRDefault="00DF2525">
      <w:pPr>
        <w:pStyle w:val="Heading2"/>
      </w:pPr>
      <w:r>
        <w:t>Does the solution need to be product‑ready?</w:t>
      </w:r>
    </w:p>
    <w:p w14:paraId="3F97E8A4" w14:textId="77777777" w:rsidR="00C741D3" w:rsidRDefault="00DF2525">
      <w:r>
        <w:t>No. Solutions should demonstrate a working proof of concept that could reasonably be adopted or further developed by ReliaQuest.</w:t>
      </w:r>
    </w:p>
    <w:p w14:paraId="41C4B890" w14:textId="77777777" w:rsidR="00C741D3" w:rsidRDefault="00DF2525">
      <w:pPr>
        <w:pStyle w:val="Heading2"/>
      </w:pPr>
      <w:r>
        <w:t>Are both research prototypes and applied solutions acceptable?</w:t>
      </w:r>
    </w:p>
    <w:p w14:paraId="32E9561D" w14:textId="77777777" w:rsidR="00C741D3" w:rsidRDefault="00DF2525">
      <w:r>
        <w:t>Yes. Solutions may range from applied prototypes to novel research‑driven approaches, as long as they demonstrate practical value.</w:t>
      </w:r>
    </w:p>
    <w:p w14:paraId="3C995C4B" w14:textId="77777777" w:rsidR="00C741D3" w:rsidRDefault="00DF2525">
      <w:pPr>
        <w:pStyle w:val="Heading2"/>
      </w:pPr>
      <w:r>
        <w:t>What kinds of AI efficiency are relevant?</w:t>
      </w:r>
    </w:p>
    <w:p w14:paraId="62768734" w14:textId="77777777" w:rsidR="00C741D3" w:rsidRDefault="00DF2525">
      <w:r>
        <w:t>The focus is on inference‑ and computation‑related efficiency such as speed, token usage, retraining cadence, and memory—not energy efficiency.</w:t>
      </w:r>
    </w:p>
    <w:p w14:paraId="782DCD8C" w14:textId="77777777" w:rsidR="00C741D3" w:rsidRDefault="00DF2525">
      <w:pPr>
        <w:pStyle w:val="Heading2"/>
      </w:pPr>
      <w:r>
        <w:t>Are training and inference studies allowed?</w:t>
      </w:r>
    </w:p>
    <w:p w14:paraId="10337723" w14:textId="77777777" w:rsidR="00C741D3" w:rsidRDefault="00DF2525">
      <w:r>
        <w:t>Yes. Projects may focus on inference efficiency, micromodels, retraining strategies, prompting optimization, or accuracy tracking.</w:t>
      </w:r>
    </w:p>
    <w:p w14:paraId="216E362F" w14:textId="77777777" w:rsidR="00C741D3" w:rsidRDefault="00DF2525">
      <w:pPr>
        <w:pStyle w:val="Heading2"/>
      </w:pPr>
      <w:r>
        <w:t>Can projects be domain‑specific?</w:t>
      </w:r>
    </w:p>
    <w:p w14:paraId="1C2172F5" w14:textId="77777777" w:rsidR="00C741D3" w:rsidRDefault="00DF2525">
      <w:r>
        <w:t>Yes. Both general and application‑specific solutions are welcome, including custom or domain‑tailored AI models.</w:t>
      </w:r>
    </w:p>
    <w:p w14:paraId="4A43D83A" w14:textId="77777777" w:rsidR="00C741D3" w:rsidRDefault="00DF2525">
      <w:pPr>
        <w:pStyle w:val="Heading2"/>
      </w:pPr>
      <w:r>
        <w:t>Are synthetic data and multimodal approaches allowed?</w:t>
      </w:r>
    </w:p>
    <w:p w14:paraId="27CAFDE4" w14:textId="77777777" w:rsidR="00C741D3" w:rsidRDefault="00DF2525">
      <w:r>
        <w:t>Yes. Synthetic data generation and multimodal approaches using text, logs, images, audio, or video are acceptable.</w:t>
      </w:r>
    </w:p>
    <w:p w14:paraId="317ADEFB" w14:textId="77777777" w:rsidR="00C741D3" w:rsidRDefault="00DF2525">
      <w:pPr>
        <w:pStyle w:val="Heading2"/>
      </w:pPr>
      <w:r>
        <w:t>Will ReliaQuest provide datasets?</w:t>
      </w:r>
    </w:p>
    <w:p w14:paraId="51C92424" w14:textId="77777777" w:rsidR="00C741D3" w:rsidRDefault="00DF2525">
      <w:r>
        <w:t>Possibly. Data sharing may occur case‑by‑case, with appropriate anonymization, if justified in the proposal.</w:t>
      </w:r>
    </w:p>
    <w:p w14:paraId="2C7C5491" w14:textId="77777777" w:rsidR="00C741D3" w:rsidRDefault="00DF2525">
      <w:pPr>
        <w:pStyle w:val="Heading2"/>
      </w:pPr>
      <w:r>
        <w:t>Can funding be used for students or summer salary?</w:t>
      </w:r>
    </w:p>
    <w:p w14:paraId="38C51033" w14:textId="77777777" w:rsidR="00C741D3" w:rsidRDefault="00DF2525">
      <w:r>
        <w:t>Yes. PIs have flexibility to allocate funds for student support, summer salary, or other project needs within FSU policies.</w:t>
      </w:r>
    </w:p>
    <w:p w14:paraId="7B0B3FFA" w14:textId="77777777" w:rsidR="00C741D3" w:rsidRDefault="00DF2525">
      <w:pPr>
        <w:pStyle w:val="Heading2"/>
      </w:pPr>
      <w:r>
        <w:t>How are student appointments handled given the project timing?</w:t>
      </w:r>
    </w:p>
    <w:p w14:paraId="79A256A6" w14:textId="77777777" w:rsidR="00C741D3" w:rsidRDefault="00DF2525">
      <w:r>
        <w:t>FSU will work with project teams to provide flexibility for student appointments that span summer and fall where feasible.</w:t>
      </w:r>
    </w:p>
    <w:p w14:paraId="63E30FD2" w14:textId="3FD8F6A1" w:rsidR="00C741D3" w:rsidRDefault="00DF2525">
      <w:pPr>
        <w:pStyle w:val="Heading2"/>
      </w:pPr>
      <w:r>
        <w:t>Are current FSU</w:t>
      </w:r>
      <w:r w:rsidR="00613A3E">
        <w:t xml:space="preserve"> </w:t>
      </w:r>
      <w:r>
        <w:t>C</w:t>
      </w:r>
      <w:r w:rsidR="00613A3E">
        <w:t>RC</w:t>
      </w:r>
      <w:r>
        <w:t xml:space="preserve"> grant holders eligible?</w:t>
      </w:r>
    </w:p>
    <w:p w14:paraId="18E2CC53" w14:textId="77777777" w:rsidR="00C741D3" w:rsidRDefault="00DF2525">
      <w:r>
        <w:t>Yes. Holding other FSU grants does not affect eligibility.</w:t>
      </w:r>
    </w:p>
    <w:p w14:paraId="4FC5483F" w14:textId="77777777" w:rsidR="00C741D3" w:rsidRDefault="00DF2525">
      <w:pPr>
        <w:pStyle w:val="Heading2"/>
      </w:pPr>
      <w:r>
        <w:lastRenderedPageBreak/>
        <w:t>Who owns intellectual property developed through this program?</w:t>
      </w:r>
    </w:p>
    <w:p w14:paraId="5E716649" w14:textId="77777777" w:rsidR="00C741D3" w:rsidRDefault="00DF2525">
      <w:r>
        <w:t>IP will be disclosed through standard FSU processes. ReliaQuest will receive a right of first refusal for licensing.</w:t>
      </w:r>
    </w:p>
    <w:p w14:paraId="3F6DF0B6" w14:textId="77777777" w:rsidR="00C741D3" w:rsidRDefault="00DF2525">
      <w:pPr>
        <w:pStyle w:val="Heading2"/>
      </w:pPr>
      <w:r>
        <w:t>Are publications allowed?</w:t>
      </w:r>
    </w:p>
    <w:p w14:paraId="77B8490F" w14:textId="77777777" w:rsidR="00C741D3" w:rsidRDefault="00DF2525">
      <w:r>
        <w:t>Yes. Publication may be permitted even if ReliaQuest licenses the technology, handled on a case‑by‑case basis.</w:t>
      </w:r>
    </w:p>
    <w:p w14:paraId="73D7C792" w14:textId="77777777" w:rsidR="00C741D3" w:rsidRDefault="00DF2525">
      <w:pPr>
        <w:pStyle w:val="Heading2"/>
      </w:pPr>
      <w:r>
        <w:t>What should proposals emphasize for reviewers?</w:t>
      </w:r>
    </w:p>
    <w:p w14:paraId="38102772" w14:textId="77777777" w:rsidR="00C741D3" w:rsidRDefault="00DF2525">
      <w:r>
        <w:t>Proposals should clearly articulate how the solution addresses a ReliaQuest business need and aligns with the stated challenge areas.</w:t>
      </w:r>
    </w:p>
    <w:p w14:paraId="5EC6208C" w14:textId="77777777" w:rsidR="00C741D3" w:rsidRDefault="00DF2525">
      <w:pPr>
        <w:pStyle w:val="Heading2"/>
      </w:pPr>
      <w:r>
        <w:t>When are proposals due and awards announced?</w:t>
      </w:r>
    </w:p>
    <w:p w14:paraId="71DB766B" w14:textId="77777777" w:rsidR="00C741D3" w:rsidRDefault="00DF2525">
      <w:r>
        <w:t>Proposals are due May 22, 2026. Award notifications are expected by June 1, with projects starting the week of June 8.</w:t>
      </w:r>
    </w:p>
    <w:p w14:paraId="70AC8B0E" w14:textId="4FBCFD6E" w:rsidR="002030DF" w:rsidRDefault="002030DF" w:rsidP="002030DF">
      <w:pPr>
        <w:pStyle w:val="Heading2"/>
      </w:pPr>
      <w:r>
        <w:t xml:space="preserve">Is there a way undergraduate students </w:t>
      </w:r>
      <w:proofErr w:type="gramStart"/>
      <w:r>
        <w:t>to join</w:t>
      </w:r>
      <w:proofErr w:type="gramEnd"/>
      <w:r>
        <w:t xml:space="preserve"> a research team?</w:t>
      </w:r>
    </w:p>
    <w:p w14:paraId="2FA1E3CA" w14:textId="3E3D216D" w:rsidR="002030DF" w:rsidRDefault="00AB6E3B">
      <w:r>
        <w:t xml:space="preserve">If you would like to email your information to </w:t>
      </w:r>
      <w:hyperlink r:id="rId8" w:history="1">
        <w:r w:rsidRPr="00225575">
          <w:rPr>
            <w:rStyle w:val="Hyperlink"/>
          </w:rPr>
          <w:t>bhodges@fsu.edu</w:t>
        </w:r>
      </w:hyperlink>
      <w:r>
        <w:t>, she can distribute it to the research teams who attended the webinar.</w:t>
      </w:r>
    </w:p>
    <w:sectPr w:rsidR="002030DF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77711" w14:textId="77777777" w:rsidR="002030DF" w:rsidRDefault="002030DF" w:rsidP="002030DF">
      <w:pPr>
        <w:spacing w:after="0" w:line="240" w:lineRule="auto"/>
      </w:pPr>
      <w:r>
        <w:separator/>
      </w:r>
    </w:p>
  </w:endnote>
  <w:endnote w:type="continuationSeparator" w:id="0">
    <w:p w14:paraId="15BDE6B1" w14:textId="77777777" w:rsidR="002030DF" w:rsidRDefault="002030DF" w:rsidP="00203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06267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DB8AB0" w14:textId="7D141643" w:rsidR="002030DF" w:rsidRDefault="002030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5D51BB" w14:textId="77777777" w:rsidR="002030DF" w:rsidRDefault="00203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9C424" w14:textId="77777777" w:rsidR="002030DF" w:rsidRDefault="002030DF" w:rsidP="002030DF">
      <w:pPr>
        <w:spacing w:after="0" w:line="240" w:lineRule="auto"/>
      </w:pPr>
      <w:r>
        <w:separator/>
      </w:r>
    </w:p>
  </w:footnote>
  <w:footnote w:type="continuationSeparator" w:id="0">
    <w:p w14:paraId="4897445D" w14:textId="77777777" w:rsidR="002030DF" w:rsidRDefault="002030DF" w:rsidP="00203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0889386">
    <w:abstractNumId w:val="8"/>
  </w:num>
  <w:num w:numId="2" w16cid:durableId="59404741">
    <w:abstractNumId w:val="6"/>
  </w:num>
  <w:num w:numId="3" w16cid:durableId="25297617">
    <w:abstractNumId w:val="5"/>
  </w:num>
  <w:num w:numId="4" w16cid:durableId="4601585">
    <w:abstractNumId w:val="4"/>
  </w:num>
  <w:num w:numId="5" w16cid:durableId="805272776">
    <w:abstractNumId w:val="7"/>
  </w:num>
  <w:num w:numId="6" w16cid:durableId="751967655">
    <w:abstractNumId w:val="3"/>
  </w:num>
  <w:num w:numId="7" w16cid:durableId="1859852324">
    <w:abstractNumId w:val="2"/>
  </w:num>
  <w:num w:numId="8" w16cid:durableId="584076739">
    <w:abstractNumId w:val="1"/>
  </w:num>
  <w:num w:numId="9" w16cid:durableId="37080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30DF"/>
    <w:rsid w:val="0029639D"/>
    <w:rsid w:val="00326F90"/>
    <w:rsid w:val="00613A3E"/>
    <w:rsid w:val="00AA1D8D"/>
    <w:rsid w:val="00AB6E3B"/>
    <w:rsid w:val="00B47730"/>
    <w:rsid w:val="00C741D3"/>
    <w:rsid w:val="00CB0664"/>
    <w:rsid w:val="00D47C0B"/>
    <w:rsid w:val="00DE2FC3"/>
    <w:rsid w:val="00DF25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0C5D37"/>
  <w14:defaultImageDpi w14:val="300"/>
  <w15:docId w15:val="{D90F9DA8-0273-41A3-92F1-A429F815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B6E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odges@f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Hodges</dc:creator>
  <cp:keywords/>
  <dc:description>generated by python-docx</dc:description>
  <cp:lastModifiedBy>Sherry Core</cp:lastModifiedBy>
  <cp:revision>2</cp:revision>
  <dcterms:created xsi:type="dcterms:W3CDTF">2026-05-12T15:05:00Z</dcterms:created>
  <dcterms:modified xsi:type="dcterms:W3CDTF">2026-05-12T15:05:00Z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85cdea75-f9ff-4a6a-8b88-ce48ef0818b6</vt:lpwstr>
  </property>
</Properties>
</file>