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02F1" w14:textId="77777777" w:rsidR="009D561D" w:rsidRPr="00B02100" w:rsidRDefault="009D561D" w:rsidP="009D561D">
      <w:pPr>
        <w:jc w:val="center"/>
        <w:rPr>
          <w:b/>
        </w:rPr>
      </w:pPr>
      <w:r w:rsidRPr="00B02100">
        <w:rPr>
          <w:b/>
        </w:rPr>
        <w:t>Boilerplate Language</w:t>
      </w:r>
    </w:p>
    <w:p w14:paraId="30E1A94C" w14:textId="6EA7F273" w:rsidR="00A118B8" w:rsidRPr="00B02100" w:rsidRDefault="00A118B8" w:rsidP="009D561D">
      <w:pPr>
        <w:jc w:val="center"/>
      </w:pPr>
      <w:r w:rsidRPr="00B02100">
        <w:t xml:space="preserve">Updated </w:t>
      </w:r>
      <w:r w:rsidR="00947DE7">
        <w:t>March</w:t>
      </w:r>
      <w:r w:rsidR="00A117CA">
        <w:t>, 2018</w:t>
      </w:r>
    </w:p>
    <w:p w14:paraId="5C28A8F7" w14:textId="77777777" w:rsidR="009D561D" w:rsidRPr="00B02100" w:rsidRDefault="009D561D" w:rsidP="009D561D">
      <w:pPr>
        <w:rPr>
          <w:b/>
        </w:rPr>
      </w:pPr>
    </w:p>
    <w:p w14:paraId="1EE6FC33" w14:textId="5D885579" w:rsidR="009D561D" w:rsidRPr="00B02100" w:rsidRDefault="00724F89" w:rsidP="00BA2929">
      <w:pPr>
        <w:autoSpaceDE w:val="0"/>
        <w:autoSpaceDN w:val="0"/>
      </w:pPr>
      <w:r w:rsidRPr="00B02100">
        <w:t>Founded in 1851,</w:t>
      </w:r>
      <w:r w:rsidRPr="00B02100">
        <w:rPr>
          <w:b/>
        </w:rPr>
        <w:t xml:space="preserve"> </w:t>
      </w:r>
      <w:r w:rsidR="009D561D" w:rsidRPr="00B02100">
        <w:rPr>
          <w:b/>
        </w:rPr>
        <w:t>F</w:t>
      </w:r>
      <w:r w:rsidR="009D561D" w:rsidRPr="00B02100">
        <w:rPr>
          <w:rFonts w:eastAsia="Times New Roman" w:cs="Times New Roman"/>
          <w:b/>
        </w:rPr>
        <w:t>lorida State University (FSU)</w:t>
      </w:r>
      <w:r w:rsidR="009D561D" w:rsidRPr="00B02100">
        <w:rPr>
          <w:rFonts w:eastAsia="Times New Roman" w:cs="Times New Roman"/>
        </w:rPr>
        <w:t xml:space="preserve"> </w:t>
      </w:r>
      <w:r w:rsidR="009D561D" w:rsidRPr="00B02100">
        <w:t>is one of the nation’s elite universities. FSU</w:t>
      </w:r>
      <w:r w:rsidR="000B7D38" w:rsidRPr="00B02100">
        <w:t xml:space="preserve">, </w:t>
      </w:r>
      <w:r w:rsidR="009D561D" w:rsidRPr="00B02100">
        <w:t xml:space="preserve">with the Carnegie Foundation’s highest designation, </w:t>
      </w:r>
      <w:r w:rsidRPr="00B02100">
        <w:t>"Doctoral Universities: Highest Research Activity"</w:t>
      </w:r>
      <w:r w:rsidR="000B7D38" w:rsidRPr="00B02100">
        <w:t xml:space="preserve">, </w:t>
      </w:r>
      <w:r w:rsidR="009D561D" w:rsidRPr="00B02100">
        <w:t xml:space="preserve">offers a distinctive academic environment built on its cherished values and unique heritage. Sixteen colleges comprise the academic organization of the University. </w:t>
      </w:r>
      <w:r w:rsidR="000B7D38" w:rsidRPr="00B02100">
        <w:t>Florida State</w:t>
      </w:r>
      <w:r w:rsidR="00453988">
        <w:t>, situated in Florida’s capital city of Tallahassee,</w:t>
      </w:r>
      <w:r w:rsidR="000B7D38" w:rsidRPr="00B02100">
        <w:t xml:space="preserve"> offers baccalaureate degrees in 107 p</w:t>
      </w:r>
      <w:r w:rsidR="0001208D">
        <w:t>rograms, master's degrees in 121</w:t>
      </w:r>
      <w:r w:rsidR="000B7D38" w:rsidRPr="00B02100">
        <w:t xml:space="preserve"> programs, advanced master's/specialist degrees </w:t>
      </w:r>
      <w:r w:rsidR="0001208D">
        <w:t>in 24 programs, doctorates in 78</w:t>
      </w:r>
      <w:r w:rsidR="000B7D38" w:rsidRPr="00B02100">
        <w:t xml:space="preserve"> programs and three professional degrees</w:t>
      </w:r>
      <w:r w:rsidR="00947DE7">
        <w:rPr>
          <w:rStyle w:val="FootnoteReference"/>
        </w:rPr>
        <w:footnoteReference w:id="1"/>
      </w:r>
      <w:r w:rsidR="000B7D38" w:rsidRPr="00B02100">
        <w:t>. The university offers fully accredited programs in both law (J.D.) and medicine (M.D.).</w:t>
      </w:r>
      <w:r w:rsidR="009D561D" w:rsidRPr="00B02100">
        <w:t xml:space="preserve"> </w:t>
      </w:r>
      <w:r w:rsidR="000B7D38" w:rsidRPr="00B02100">
        <w:t xml:space="preserve">With </w:t>
      </w:r>
      <w:r w:rsidR="00D14E5F">
        <w:t>nearly 42</w:t>
      </w:r>
      <w:r w:rsidR="000B7D38" w:rsidRPr="00B02100">
        <w:t>,000 students enrolled in f</w:t>
      </w:r>
      <w:r w:rsidR="00D14E5F">
        <w:t>all 2016</w:t>
      </w:r>
      <w:r w:rsidR="000B7D38" w:rsidRPr="00B02100">
        <w:t>, the student body was compr</w:t>
      </w:r>
      <w:r w:rsidR="006B0827">
        <w:t>ised of 78.3% undergraduates, 16.3</w:t>
      </w:r>
      <w:r w:rsidR="000B7D38" w:rsidRPr="00B02100">
        <w:t>% graduates and 2.</w:t>
      </w:r>
      <w:r w:rsidR="006B0827">
        <w:t>9</w:t>
      </w:r>
      <w:r w:rsidR="000B7D38" w:rsidRPr="00B02100">
        <w:t>% unclassified. Women accounted for 55</w:t>
      </w:r>
      <w:r w:rsidR="006B0827">
        <w:t>.7</w:t>
      </w:r>
      <w:r w:rsidR="000B7D38" w:rsidRPr="00B02100">
        <w:t>% of the enro</w:t>
      </w:r>
      <w:r w:rsidR="006B0827">
        <w:t>llment and minorities made up 39.9</w:t>
      </w:r>
      <w:r w:rsidR="000B7D38" w:rsidRPr="00B02100">
        <w:t>% of student enrollment</w:t>
      </w:r>
      <w:r w:rsidR="006B0827">
        <w:rPr>
          <w:rStyle w:val="FootnoteReference"/>
        </w:rPr>
        <w:footnoteReference w:id="2"/>
      </w:r>
      <w:r w:rsidR="000B7D38" w:rsidRPr="00B02100">
        <w:t xml:space="preserve">. </w:t>
      </w:r>
      <w:r w:rsidR="00217CA7">
        <w:rPr>
          <w:rFonts w:eastAsia="Times New Roman" w:cs="Times New Roman"/>
        </w:rPr>
        <w:t>During the fall 2016</w:t>
      </w:r>
      <w:r w:rsidR="000B7D38" w:rsidRPr="00B02100">
        <w:rPr>
          <w:rFonts w:eastAsia="Times New Roman" w:cs="Times New Roman"/>
        </w:rPr>
        <w:t xml:space="preserve"> semeste</w:t>
      </w:r>
      <w:r w:rsidR="00217CA7">
        <w:rPr>
          <w:rFonts w:eastAsia="Times New Roman" w:cs="Times New Roman"/>
        </w:rPr>
        <w:t>r, there were 22 freshmen and 59</w:t>
      </w:r>
      <w:r w:rsidR="000B7D38" w:rsidRPr="00B02100">
        <w:rPr>
          <w:rFonts w:eastAsia="Times New Roman" w:cs="Times New Roman"/>
        </w:rPr>
        <w:t xml:space="preserve"> total undergraduate National Merit Scholars enrolled at Florida State University. The middle 50% high sch</w:t>
      </w:r>
      <w:r w:rsidR="00217CA7">
        <w:rPr>
          <w:rFonts w:eastAsia="Times New Roman" w:cs="Times New Roman"/>
        </w:rPr>
        <w:t>ool GPA for the summer/fall 2016 freshman class was 3.8-4.3</w:t>
      </w:r>
      <w:r w:rsidR="000B7D38" w:rsidRPr="00B02100">
        <w:rPr>
          <w:rFonts w:eastAsia="Times New Roman" w:cs="Times New Roman"/>
        </w:rPr>
        <w:t xml:space="preserve"> an</w:t>
      </w:r>
      <w:r w:rsidR="00217CA7">
        <w:rPr>
          <w:rFonts w:eastAsia="Times New Roman" w:cs="Times New Roman"/>
        </w:rPr>
        <w:t>d middle 50% SAT scores were 116</w:t>
      </w:r>
      <w:r w:rsidR="000B7D38" w:rsidRPr="00B02100">
        <w:rPr>
          <w:rFonts w:eastAsia="Times New Roman" w:cs="Times New Roman"/>
        </w:rPr>
        <w:t>0-</w:t>
      </w:r>
      <w:r w:rsidR="00217CA7">
        <w:rPr>
          <w:rFonts w:eastAsia="Times New Roman" w:cs="Times New Roman"/>
        </w:rPr>
        <w:t>129</w:t>
      </w:r>
      <w:r w:rsidR="00C92876" w:rsidRPr="00B02100">
        <w:rPr>
          <w:rFonts w:eastAsia="Times New Roman" w:cs="Times New Roman"/>
        </w:rPr>
        <w:t>0</w:t>
      </w:r>
      <w:r w:rsidR="00D14E5F">
        <w:rPr>
          <w:rStyle w:val="FootnoteReference"/>
          <w:rFonts w:eastAsia="Times New Roman" w:cs="Times New Roman"/>
        </w:rPr>
        <w:footnoteReference w:id="3"/>
      </w:r>
      <w:r w:rsidR="00C92876" w:rsidRPr="00B02100">
        <w:rPr>
          <w:rFonts w:eastAsia="Times New Roman" w:cs="Times New Roman"/>
        </w:rPr>
        <w:t>.</w:t>
      </w:r>
      <w:r w:rsidR="009D561D" w:rsidRPr="00B02100">
        <w:rPr>
          <w:rFonts w:eastAsia="Times New Roman" w:cs="Times New Roman"/>
        </w:rPr>
        <w:t xml:space="preserve"> </w:t>
      </w:r>
      <w:r w:rsidR="00BA2929" w:rsidRPr="00B02100">
        <w:t xml:space="preserve">Over the past decade, </w:t>
      </w:r>
      <w:r w:rsidR="00DC1F2B" w:rsidRPr="00B02100">
        <w:t>FSU</w:t>
      </w:r>
      <w:r w:rsidR="00BA2929" w:rsidRPr="00B02100">
        <w:t xml:space="preserve"> students have won more than 300 nationally competitive awards total</w:t>
      </w:r>
      <w:r w:rsidR="00303BFD" w:rsidRPr="00B02100">
        <w:t>ing nearly $9 million dollars. </w:t>
      </w:r>
      <w:r w:rsidR="00BA2929" w:rsidRPr="00B02100">
        <w:t xml:space="preserve">These awards include </w:t>
      </w:r>
      <w:r w:rsidR="00BA2929" w:rsidRPr="00B02100">
        <w:rPr>
          <w:bCs/>
        </w:rPr>
        <w:t xml:space="preserve">three </w:t>
      </w:r>
      <w:r w:rsidR="00BA2929" w:rsidRPr="00B02100">
        <w:t xml:space="preserve">prestigious Rhodes scholarships, </w:t>
      </w:r>
      <w:r w:rsidR="00BA2929" w:rsidRPr="00B02100">
        <w:rPr>
          <w:bCs/>
        </w:rPr>
        <w:t>four</w:t>
      </w:r>
      <w:r w:rsidR="00BA2929" w:rsidRPr="00B02100">
        <w:t xml:space="preserve"> Truman scholarships, </w:t>
      </w:r>
      <w:r w:rsidR="00BA2929" w:rsidRPr="00B02100">
        <w:rPr>
          <w:bCs/>
        </w:rPr>
        <w:t>eight</w:t>
      </w:r>
      <w:r w:rsidR="00BA2929" w:rsidRPr="00B02100">
        <w:t xml:space="preserve"> Goldwater scholarships, </w:t>
      </w:r>
      <w:r w:rsidR="00303BFD" w:rsidRPr="00B02100">
        <w:rPr>
          <w:bCs/>
        </w:rPr>
        <w:t>18</w:t>
      </w:r>
      <w:r w:rsidR="00BA2929" w:rsidRPr="00B02100">
        <w:rPr>
          <w:bCs/>
        </w:rPr>
        <w:t xml:space="preserve"> </w:t>
      </w:r>
      <w:r w:rsidR="00BA2929" w:rsidRPr="00B02100">
        <w:t xml:space="preserve">Hollings scholarships, </w:t>
      </w:r>
      <w:r w:rsidR="00BA2929" w:rsidRPr="00B02100">
        <w:rPr>
          <w:bCs/>
        </w:rPr>
        <w:t xml:space="preserve">four </w:t>
      </w:r>
      <w:r w:rsidR="00BA2929" w:rsidRPr="00B02100">
        <w:t xml:space="preserve">Pickering fellowships, 11 P.E.O. Scholar and International Peace Scholarship Awards, </w:t>
      </w:r>
      <w:r w:rsidR="00303BFD" w:rsidRPr="00B02100">
        <w:t>three</w:t>
      </w:r>
      <w:r w:rsidR="00BA2929" w:rsidRPr="00B02100">
        <w:t xml:space="preserve"> NASA Earth and Space Fellowships, </w:t>
      </w:r>
      <w:r w:rsidR="00303BFD" w:rsidRPr="00B02100">
        <w:t>eight</w:t>
      </w:r>
      <w:r w:rsidR="00BA2929" w:rsidRPr="00B02100">
        <w:t xml:space="preserve"> National Institutes of Health F31 Awards, </w:t>
      </w:r>
      <w:r w:rsidR="00303BFD" w:rsidRPr="00B02100">
        <w:t>four</w:t>
      </w:r>
      <w:r w:rsidR="00BA2929" w:rsidRPr="00B02100">
        <w:t xml:space="preserve"> American Heart Association Predoctoral Fellowships, 16 National Science Foundation Graduat</w:t>
      </w:r>
      <w:r w:rsidR="000022A0" w:rsidRPr="00B02100">
        <w:t xml:space="preserve">e Research Fellowships, </w:t>
      </w:r>
      <w:r w:rsidR="00BA2929" w:rsidRPr="00B02100">
        <w:t xml:space="preserve">over </w:t>
      </w:r>
      <w:r w:rsidR="00303BFD" w:rsidRPr="00B02100">
        <w:rPr>
          <w:bCs/>
        </w:rPr>
        <w:t>80</w:t>
      </w:r>
      <w:r w:rsidR="00BA2929" w:rsidRPr="00B02100">
        <w:rPr>
          <w:bCs/>
        </w:rPr>
        <w:t xml:space="preserve"> </w:t>
      </w:r>
      <w:r w:rsidR="00BA2929" w:rsidRPr="00B02100">
        <w:t>Fulbright student scholarships</w:t>
      </w:r>
      <w:r w:rsidR="000022A0" w:rsidRPr="00B02100">
        <w:t xml:space="preserve"> (which is the most in the state of Florida)</w:t>
      </w:r>
      <w:r w:rsidR="00213FDF" w:rsidRPr="00B02100">
        <w:t>,</w:t>
      </w:r>
      <w:r w:rsidR="00BA2929" w:rsidRPr="00B02100">
        <w:t xml:space="preserve"> and </w:t>
      </w:r>
      <w:r w:rsidR="00303BFD" w:rsidRPr="00B02100">
        <w:t>an FSU student</w:t>
      </w:r>
      <w:r w:rsidR="00213FDF" w:rsidRPr="00B02100">
        <w:t xml:space="preserve"> was the first ever to win </w:t>
      </w:r>
      <w:r w:rsidR="00BA2929" w:rsidRPr="00B02100">
        <w:t>the Woodrow Wilson fellowship</w:t>
      </w:r>
      <w:r w:rsidR="00213FDF" w:rsidRPr="00B02100">
        <w:t xml:space="preserve"> for a work of fiction</w:t>
      </w:r>
      <w:r w:rsidR="00BA2929" w:rsidRPr="00B02100">
        <w:t xml:space="preserve">. Our students have travelled to over 50 countries, expanding FSU’s influence around the globe. </w:t>
      </w:r>
      <w:r w:rsidR="009D561D" w:rsidRPr="00B02100">
        <w:rPr>
          <w:rFonts w:eastAsia="Times New Roman" w:cs="Times New Roman"/>
        </w:rPr>
        <w:t xml:space="preserve">The University also ranks </w:t>
      </w:r>
      <w:r w:rsidR="00B17938" w:rsidRPr="00B02100">
        <w:rPr>
          <w:rFonts w:eastAsia="Times New Roman" w:cs="Times New Roman"/>
        </w:rPr>
        <w:t>3</w:t>
      </w:r>
      <w:r w:rsidR="005979C3">
        <w:rPr>
          <w:rFonts w:eastAsia="Times New Roman" w:cs="Times New Roman"/>
        </w:rPr>
        <w:t>3rd</w:t>
      </w:r>
      <w:r w:rsidR="00213FDF" w:rsidRPr="00B02100">
        <w:rPr>
          <w:rFonts w:eastAsia="Times New Roman" w:cs="Times New Roman"/>
        </w:rPr>
        <w:t xml:space="preserve"> </w:t>
      </w:r>
      <w:r w:rsidR="009D561D" w:rsidRPr="00B02100">
        <w:rPr>
          <w:rFonts w:eastAsia="Times New Roman" w:cs="Times New Roman"/>
        </w:rPr>
        <w:t xml:space="preserve">among all public national universities in the </w:t>
      </w:r>
      <w:r w:rsidR="009D561D" w:rsidRPr="00B02100">
        <w:rPr>
          <w:rFonts w:eastAsia="Times New Roman" w:cs="Times New Roman"/>
          <w:i/>
          <w:iCs/>
        </w:rPr>
        <w:t>U.S. News &amp; World Report</w:t>
      </w:r>
      <w:r w:rsidR="009D561D" w:rsidRPr="00B02100">
        <w:rPr>
          <w:rFonts w:eastAsia="Times New Roman" w:cs="Times New Roman"/>
        </w:rPr>
        <w:t xml:space="preserve"> </w:t>
      </w:r>
      <w:r w:rsidR="005979C3">
        <w:rPr>
          <w:rFonts w:eastAsia="Times New Roman" w:cs="Times New Roman"/>
        </w:rPr>
        <w:t>2018</w:t>
      </w:r>
      <w:r w:rsidR="00A7111C" w:rsidRPr="00B02100">
        <w:rPr>
          <w:rFonts w:eastAsia="Times New Roman" w:cs="Times New Roman"/>
        </w:rPr>
        <w:t xml:space="preserve"> </w:t>
      </w:r>
      <w:r w:rsidR="009D561D" w:rsidRPr="00B02100">
        <w:rPr>
          <w:rFonts w:eastAsia="Times New Roman" w:cs="Times New Roman"/>
        </w:rPr>
        <w:t>edition of "America's Best Colleges"</w:t>
      </w:r>
      <w:r w:rsidR="005979C3">
        <w:rPr>
          <w:rStyle w:val="FootnoteReference"/>
          <w:rFonts w:eastAsia="Times New Roman" w:cs="Times New Roman"/>
        </w:rPr>
        <w:footnoteReference w:id="4"/>
      </w:r>
      <w:r w:rsidR="009D561D" w:rsidRPr="00B02100">
        <w:rPr>
          <w:rFonts w:eastAsia="Times New Roman" w:cs="Times New Roman"/>
        </w:rPr>
        <w:t>—evidence that Florida State combines an outstanding education with economic value.</w:t>
      </w:r>
    </w:p>
    <w:p w14:paraId="1E65FCA8" w14:textId="77777777" w:rsidR="009D561D" w:rsidRPr="00B02100" w:rsidRDefault="009D561D" w:rsidP="009D561D"/>
    <w:p w14:paraId="6A4D6C30" w14:textId="2DE0E20C" w:rsidR="009D561D" w:rsidRPr="00B02100" w:rsidRDefault="009D561D" w:rsidP="009D561D">
      <w:r w:rsidRPr="00B02100">
        <w:t>During FY</w:t>
      </w:r>
      <w:r w:rsidR="00B02100">
        <w:t>1</w:t>
      </w:r>
      <w:r w:rsidR="00054745">
        <w:t>7</w:t>
      </w:r>
      <w:r w:rsidRPr="00B02100">
        <w:t>, the</w:t>
      </w:r>
      <w:r w:rsidRPr="00B02100">
        <w:rPr>
          <w:b/>
        </w:rPr>
        <w:t xml:space="preserve"> Office of Research</w:t>
      </w:r>
      <w:r w:rsidRPr="00B02100">
        <w:t xml:space="preserve"> received </w:t>
      </w:r>
      <w:r w:rsidR="00054745">
        <w:t>over</w:t>
      </w:r>
      <w:r w:rsidRPr="00B02100">
        <w:t xml:space="preserve"> $</w:t>
      </w:r>
      <w:r w:rsidR="004A7DD6" w:rsidRPr="00B02100">
        <w:t>20</w:t>
      </w:r>
      <w:r w:rsidRPr="00B02100">
        <w:t xml:space="preserve">0 million in external grant awards. </w:t>
      </w:r>
    </w:p>
    <w:p w14:paraId="1239E582" w14:textId="77777777" w:rsidR="0025670D" w:rsidRPr="00B02100" w:rsidRDefault="009D561D" w:rsidP="009D561D">
      <w:r w:rsidRPr="00B02100">
        <w:tab/>
      </w:r>
    </w:p>
    <w:p w14:paraId="373C548A" w14:textId="51B7AFE2" w:rsidR="009D561D" w:rsidRPr="00B02100" w:rsidRDefault="009D561D" w:rsidP="009D561D">
      <w:r w:rsidRPr="00B02100">
        <w:t>Scale of sponsored research for FY 201</w:t>
      </w:r>
      <w:r w:rsidR="00A117CA">
        <w:t>7</w:t>
      </w:r>
      <w:r w:rsidR="00B02100">
        <w:t xml:space="preserve"> is detailed below</w:t>
      </w:r>
      <w:r w:rsidRPr="00B02100">
        <w:t>:</w:t>
      </w:r>
    </w:p>
    <w:p w14:paraId="20840994" w14:textId="11DAF77B" w:rsidR="009D561D" w:rsidRPr="00B02100" w:rsidRDefault="009D561D" w:rsidP="009D561D">
      <w:pPr>
        <w:numPr>
          <w:ilvl w:val="0"/>
          <w:numId w:val="1"/>
        </w:numPr>
      </w:pPr>
      <w:r w:rsidRPr="00B02100">
        <w:t>External award dollars: $</w:t>
      </w:r>
      <w:r w:rsidR="00A117CA">
        <w:t>210,400,000</w:t>
      </w:r>
    </w:p>
    <w:p w14:paraId="04702545" w14:textId="5B7BE0D1" w:rsidR="009D561D" w:rsidRPr="00B02100" w:rsidRDefault="009D561D" w:rsidP="009D561D">
      <w:pPr>
        <w:numPr>
          <w:ilvl w:val="0"/>
          <w:numId w:val="1"/>
        </w:numPr>
      </w:pPr>
      <w:r w:rsidRPr="00B02100">
        <w:t xml:space="preserve">Number of awards: </w:t>
      </w:r>
      <w:r w:rsidR="00A117CA">
        <w:t>1.340</w:t>
      </w:r>
    </w:p>
    <w:p w14:paraId="5D528BE0" w14:textId="200F5EEA" w:rsidR="009D561D" w:rsidRPr="00B02100" w:rsidRDefault="009D561D" w:rsidP="009D561D">
      <w:pPr>
        <w:numPr>
          <w:ilvl w:val="0"/>
          <w:numId w:val="1"/>
        </w:numPr>
      </w:pPr>
      <w:r w:rsidRPr="00B02100">
        <w:t xml:space="preserve">Number of proposals: </w:t>
      </w:r>
      <w:r w:rsidR="00A117CA">
        <w:t>1357</w:t>
      </w:r>
    </w:p>
    <w:p w14:paraId="42CCF8FA" w14:textId="066AD6F5" w:rsidR="009D561D" w:rsidRPr="00B02100" w:rsidRDefault="009D561D" w:rsidP="009D561D">
      <w:pPr>
        <w:numPr>
          <w:ilvl w:val="0"/>
          <w:numId w:val="1"/>
        </w:numPr>
      </w:pPr>
      <w:r w:rsidRPr="00B02100">
        <w:t>N</w:t>
      </w:r>
      <w:r w:rsidR="006E1262" w:rsidRPr="00B02100">
        <w:t xml:space="preserve">umber of patent applications: </w:t>
      </w:r>
      <w:r w:rsidR="00A117CA">
        <w:t>120</w:t>
      </w:r>
    </w:p>
    <w:p w14:paraId="4C78582D" w14:textId="3662CC03" w:rsidR="009D561D" w:rsidRPr="00B02100" w:rsidRDefault="006E1262" w:rsidP="009D561D">
      <w:pPr>
        <w:numPr>
          <w:ilvl w:val="0"/>
          <w:numId w:val="1"/>
        </w:numPr>
      </w:pPr>
      <w:r w:rsidRPr="00B02100">
        <w:t xml:space="preserve">Number of patents: </w:t>
      </w:r>
      <w:r w:rsidR="00A117CA">
        <w:t>50</w:t>
      </w:r>
    </w:p>
    <w:p w14:paraId="3FDB8985" w14:textId="2CCFCE81" w:rsidR="009D561D" w:rsidRPr="00B02100" w:rsidRDefault="006E1262" w:rsidP="009D561D">
      <w:pPr>
        <w:numPr>
          <w:ilvl w:val="0"/>
          <w:numId w:val="1"/>
        </w:numPr>
      </w:pPr>
      <w:r w:rsidRPr="00B02100">
        <w:t xml:space="preserve">Number of licenses: </w:t>
      </w:r>
      <w:r w:rsidR="00A117CA">
        <w:t>13</w:t>
      </w:r>
    </w:p>
    <w:p w14:paraId="4001624B" w14:textId="77777777" w:rsidR="00320B20" w:rsidRPr="00B02100" w:rsidRDefault="00320B20"/>
    <w:p w14:paraId="3E966EC5" w14:textId="0A7E1004" w:rsidR="00A118B8" w:rsidRPr="00B02100" w:rsidRDefault="00A118B8" w:rsidP="008C018C">
      <w:r w:rsidRPr="00B02100">
        <w:t xml:space="preserve">Florida State University received </w:t>
      </w:r>
      <w:r w:rsidR="00DC1F2B" w:rsidRPr="00B02100">
        <w:t>nearly</w:t>
      </w:r>
      <w:r w:rsidRPr="00B02100">
        <w:t xml:space="preserve"> </w:t>
      </w:r>
      <w:r w:rsidR="00001A96" w:rsidRPr="00B02100">
        <w:t>27</w:t>
      </w:r>
      <w:r w:rsidRPr="00B02100">
        <w:t xml:space="preserve"> million dollars in research funding </w:t>
      </w:r>
      <w:r w:rsidR="00CF206F" w:rsidRPr="00B02100">
        <w:t>from industry</w:t>
      </w:r>
      <w:r w:rsidR="00DC1F2B" w:rsidRPr="00B02100">
        <w:t xml:space="preserve"> and other private sources</w:t>
      </w:r>
      <w:r w:rsidR="00CF206F" w:rsidRPr="00B02100">
        <w:t xml:space="preserve"> in 201</w:t>
      </w:r>
      <w:r w:rsidR="00DC1F2B" w:rsidRPr="00B02100">
        <w:t>6</w:t>
      </w:r>
      <w:r w:rsidR="00CF206F" w:rsidRPr="00B02100">
        <w:t>.</w:t>
      </w:r>
      <w:r w:rsidR="005C3258" w:rsidRPr="005C3258">
        <w:rPr>
          <w:rFonts w:ascii="Arial" w:hAnsi="Arial" w:cs="Arial"/>
          <w:color w:val="2C2A29"/>
          <w:sz w:val="32"/>
          <w:szCs w:val="32"/>
          <w:shd w:val="clear" w:color="auto" w:fill="F4F4F4"/>
        </w:rPr>
        <w:t xml:space="preserve"> </w:t>
      </w:r>
      <w:r w:rsidR="003F366D">
        <w:t>The University’s</w:t>
      </w:r>
      <w:r w:rsidR="005C3258" w:rsidRPr="005C3258">
        <w:t xml:space="preserve"> preeminent faculty earn over $500,000 in external research grants every single day of the year</w:t>
      </w:r>
      <w:r w:rsidR="005979C3">
        <w:rPr>
          <w:rStyle w:val="FootnoteReference"/>
        </w:rPr>
        <w:footnoteReference w:id="5"/>
      </w:r>
      <w:r w:rsidR="005C3258" w:rsidRPr="005C3258">
        <w:t>.</w:t>
      </w:r>
      <w:r w:rsidR="005979C3" w:rsidRPr="005979C3">
        <w:t xml:space="preserve"> Florida State consistently ranks in the top 10 universities nationally in physical sciences grants awarded by the National Science Foundation, and FSU receives more in NSF funding than any other university in Florida.</w:t>
      </w:r>
      <w:r w:rsidR="00CF206F" w:rsidRPr="00B02100">
        <w:t xml:space="preserve"> Industry-</w:t>
      </w:r>
      <w:r w:rsidRPr="00B02100">
        <w:t>sponsored research funding provides educational and knowledge expansion opportunities at the University as well as giving</w:t>
      </w:r>
      <w:r w:rsidR="00CF206F" w:rsidRPr="00B02100">
        <w:t xml:space="preserve"> industry access to the most up-to-</w:t>
      </w:r>
      <w:r w:rsidRPr="00B02100">
        <w:t>date technology, cutting-edge research</w:t>
      </w:r>
      <w:r w:rsidR="00CF206F" w:rsidRPr="00B02100">
        <w:t>,</w:t>
      </w:r>
      <w:r w:rsidRPr="00B02100">
        <w:t xml:space="preserve"> and prospective employees. Industry partnerships many times lead to licensing of technology either develo</w:t>
      </w:r>
      <w:r w:rsidR="00CF206F" w:rsidRPr="00B02100">
        <w:t>ped as a result of the industry-</w:t>
      </w:r>
      <w:r w:rsidRPr="00B02100">
        <w:t xml:space="preserve">sponsored research project or industry exposure to university technology. Also, technology-licensing relationships frequently result in the licensee sponsoring research in the laboratory </w:t>
      </w:r>
      <w:r w:rsidR="00CF206F" w:rsidRPr="00B02100">
        <w:t>that</w:t>
      </w:r>
      <w:r w:rsidRPr="00B02100">
        <w:t xml:space="preserve"> deve</w:t>
      </w:r>
      <w:r w:rsidR="00CF206F" w:rsidRPr="00B02100">
        <w:t xml:space="preserve">loped the licensed technology. </w:t>
      </w:r>
      <w:r w:rsidRPr="00B02100">
        <w:t xml:space="preserve">Perhaps the best example of that at </w:t>
      </w:r>
      <w:r w:rsidR="00CF206F" w:rsidRPr="00B02100">
        <w:t>FSU</w:t>
      </w:r>
      <w:r w:rsidRPr="00B02100">
        <w:t xml:space="preserve"> was our synthesis and subsequent licensing </w:t>
      </w:r>
      <w:r w:rsidR="00CF206F" w:rsidRPr="00B02100">
        <w:t xml:space="preserve">of the anti-cancer drug Taxol. </w:t>
      </w:r>
      <w:r w:rsidRPr="00B02100">
        <w:t xml:space="preserve">This has saved the lives of millions of women and also generated $352 million in licensing revenue </w:t>
      </w:r>
      <w:r w:rsidR="006B7BD1" w:rsidRPr="00B02100">
        <w:t>for</w:t>
      </w:r>
      <w:r w:rsidRPr="00B02100">
        <w:t xml:space="preserve"> FSU.</w:t>
      </w:r>
    </w:p>
    <w:p w14:paraId="2C244F30" w14:textId="77777777" w:rsidR="00A118B8" w:rsidRPr="00B02100" w:rsidRDefault="00A118B8" w:rsidP="00A118B8">
      <w:pPr>
        <w:ind w:left="720"/>
      </w:pPr>
    </w:p>
    <w:p w14:paraId="07FEB331" w14:textId="5315AE07" w:rsidR="00A118B8" w:rsidRPr="00B02100" w:rsidRDefault="00A118B8" w:rsidP="008C018C">
      <w:r w:rsidRPr="00B02100">
        <w:t>Collaborative research relationships with other research institutions are a common occurrence at FSU</w:t>
      </w:r>
      <w:r w:rsidR="00087967" w:rsidRPr="00B02100">
        <w:t>,</w:t>
      </w:r>
      <w:r w:rsidRPr="00B02100">
        <w:t xml:space="preserve"> which results in knowledge expansion and new technology that is of commercial value. </w:t>
      </w:r>
      <w:r w:rsidR="00087967" w:rsidRPr="00B02100">
        <w:t>For</w:t>
      </w:r>
      <w:r w:rsidRPr="00B02100">
        <w:t xml:space="preserve"> example, recently a portion of the Zika drug portfolio developed at FSU was a collaborative effort with </w:t>
      </w:r>
      <w:r w:rsidR="00087967" w:rsidRPr="00B02100">
        <w:t>the National Institutes of Health</w:t>
      </w:r>
      <w:r w:rsidRPr="00B02100">
        <w:t xml:space="preserve"> and Johns Hopkins University. Each </w:t>
      </w:r>
      <w:r w:rsidR="00087967" w:rsidRPr="00B02100">
        <w:t>contributor</w:t>
      </w:r>
      <w:r w:rsidRPr="00B02100">
        <w:t xml:space="preserve"> provided expertise that</w:t>
      </w:r>
      <w:r w:rsidR="00087967" w:rsidRPr="00B02100">
        <w:t>,</w:t>
      </w:r>
      <w:r w:rsidRPr="00B02100">
        <w:t xml:space="preserve"> combined</w:t>
      </w:r>
      <w:r w:rsidR="00087967" w:rsidRPr="00B02100">
        <w:t>,</w:t>
      </w:r>
      <w:r w:rsidRPr="00B02100">
        <w:t xml:space="preserve"> resulted in discoveries that would have been less likely at a single institution. </w:t>
      </w:r>
    </w:p>
    <w:p w14:paraId="04DA6DCA" w14:textId="77777777" w:rsidR="009C3543" w:rsidRPr="00B02100" w:rsidRDefault="009C3543" w:rsidP="008C018C"/>
    <w:p w14:paraId="6F8EEBA2" w14:textId="44D58853" w:rsidR="0025670D" w:rsidRPr="00B02100" w:rsidRDefault="0025670D" w:rsidP="009C3543">
      <w:pPr>
        <w:rPr>
          <w:b/>
          <w:u w:val="single"/>
        </w:rPr>
      </w:pPr>
      <w:r w:rsidRPr="00B02100">
        <w:rPr>
          <w:b/>
          <w:u w:val="single"/>
        </w:rPr>
        <w:t>Colleges, Departments and Initiatives</w:t>
      </w:r>
    </w:p>
    <w:p w14:paraId="5A9EED98" w14:textId="77777777" w:rsidR="0025670D" w:rsidRPr="00B02100" w:rsidRDefault="0025670D" w:rsidP="009C3543"/>
    <w:p w14:paraId="78F5B34E" w14:textId="7E7AAD89" w:rsidR="00B02100" w:rsidRPr="00B02100" w:rsidRDefault="00B02100" w:rsidP="00B02100">
      <w:r w:rsidRPr="00B02100">
        <w:rPr>
          <w:b/>
        </w:rPr>
        <w:t>Strozier Library and the seven other campus libraries</w:t>
      </w:r>
      <w:r w:rsidRPr="00B02100">
        <w:t xml:space="preserve"> contain more than 3,000,000 volumes, of which more than 1,100,000 are available electronically. The library subscribes to 1,047 databases and 95,299 e-journals. The library is a member of the Association of Research Libraries, the Center for Research Libraries, and the Association of Southeastern Research Libraries. Through the library user information system, students and faculty have access to </w:t>
      </w:r>
      <w:r w:rsidR="00A86812">
        <w:t>services like 3D Printing</w:t>
      </w:r>
      <w:r w:rsidR="0001208D">
        <w:t>,</w:t>
      </w:r>
      <w:r w:rsidR="00A86812">
        <w:t xml:space="preserve"> </w:t>
      </w:r>
      <w:r w:rsidRPr="00B02100">
        <w:t xml:space="preserve">the Education Index Retrospective &amp; Education Full Text, ERIC (EBSCO, OCLC WorldCat Discovery, and Proquest), Educator’s Reference Complete, SAGE Research Methods Online, Dissertations &amp; Theses (PQDT; Global and FSU-specific), and other indexes. </w:t>
      </w:r>
    </w:p>
    <w:p w14:paraId="04ECAEA0" w14:textId="77777777" w:rsidR="00B02100" w:rsidRPr="00B02100" w:rsidRDefault="00B02100" w:rsidP="00B02100"/>
    <w:p w14:paraId="06F3EA33" w14:textId="7D626CD8" w:rsidR="00B02100" w:rsidRPr="00B02100" w:rsidRDefault="00B02100" w:rsidP="00B02100">
      <w:pPr>
        <w:pStyle w:val="lineheight"/>
        <w:spacing w:before="0" w:beforeAutospacing="0" w:after="0" w:afterAutospacing="0"/>
        <w:rPr>
          <w:rFonts w:asciiTheme="minorHAnsi" w:hAnsiTheme="minorHAnsi" w:cs="Times New Roman"/>
          <w:sz w:val="24"/>
          <w:szCs w:val="24"/>
        </w:rPr>
      </w:pPr>
      <w:r w:rsidRPr="00B02100">
        <w:rPr>
          <w:rFonts w:asciiTheme="minorHAnsi" w:hAnsiTheme="minorHAnsi"/>
          <w:sz w:val="24"/>
          <w:szCs w:val="24"/>
        </w:rPr>
        <w:t>The</w:t>
      </w:r>
      <w:r w:rsidRPr="00B02100">
        <w:rPr>
          <w:rFonts w:asciiTheme="minorHAnsi" w:hAnsiTheme="minorHAnsi"/>
          <w:b/>
          <w:sz w:val="24"/>
          <w:szCs w:val="24"/>
        </w:rPr>
        <w:t xml:space="preserve"> Student Disability Resource Center (SDRC) </w:t>
      </w:r>
      <w:r w:rsidRPr="00B02100">
        <w:rPr>
          <w:rFonts w:asciiTheme="minorHAnsi" w:hAnsiTheme="minorHAnsi"/>
          <w:sz w:val="24"/>
          <w:szCs w:val="24"/>
        </w:rPr>
        <w:t>is the primary advocate for</w:t>
      </w:r>
      <w:r w:rsidR="00453988">
        <w:rPr>
          <w:rFonts w:asciiTheme="minorHAnsi" w:hAnsiTheme="minorHAnsi"/>
          <w:sz w:val="24"/>
          <w:szCs w:val="24"/>
        </w:rPr>
        <w:t xml:space="preserve"> more than </w:t>
      </w:r>
      <w:r w:rsidR="00A65483">
        <w:rPr>
          <w:rFonts w:asciiTheme="minorHAnsi" w:hAnsiTheme="minorHAnsi"/>
          <w:sz w:val="24"/>
          <w:szCs w:val="24"/>
        </w:rPr>
        <w:t xml:space="preserve">3,700 </w:t>
      </w:r>
      <w:r w:rsidR="00A65483" w:rsidRPr="00B02100">
        <w:rPr>
          <w:rFonts w:asciiTheme="minorHAnsi" w:hAnsiTheme="minorHAnsi"/>
          <w:sz w:val="24"/>
          <w:szCs w:val="24"/>
        </w:rPr>
        <w:t>students</w:t>
      </w:r>
      <w:r w:rsidRPr="00B02100">
        <w:rPr>
          <w:rFonts w:asciiTheme="minorHAnsi" w:hAnsiTheme="minorHAnsi"/>
          <w:sz w:val="24"/>
          <w:szCs w:val="24"/>
        </w:rPr>
        <w:t xml:space="preserve"> with disabilities and monitors the environmental, social, and academic conditions affecting these individuals.</w:t>
      </w:r>
      <w:r w:rsidR="00A65483" w:rsidRPr="00B02100">
        <w:rPr>
          <w:rFonts w:asciiTheme="minorHAnsi" w:hAnsiTheme="minorHAnsi" w:cs="Times New Roman"/>
          <w:sz w:val="24"/>
          <w:szCs w:val="24"/>
        </w:rPr>
        <w:t xml:space="preserve"> </w:t>
      </w:r>
      <w:r w:rsidRPr="00B02100">
        <w:rPr>
          <w:rFonts w:asciiTheme="minorHAnsi" w:hAnsiTheme="minorHAnsi" w:cs="Times New Roman"/>
          <w:sz w:val="24"/>
          <w:szCs w:val="24"/>
        </w:rPr>
        <w:t xml:space="preserve">As such, the SDRC works with faculty and staff to provide accommodations for the unique needs of students both in and out of the classroom. </w:t>
      </w:r>
      <w:r w:rsidRPr="00B02100">
        <w:rPr>
          <w:rFonts w:asciiTheme="minorHAnsi" w:hAnsiTheme="minorHAnsi"/>
          <w:sz w:val="24"/>
          <w:szCs w:val="24"/>
        </w:rPr>
        <w:t>Its mission is to c</w:t>
      </w:r>
      <w:r w:rsidRPr="00B02100">
        <w:rPr>
          <w:rFonts w:asciiTheme="minorHAnsi" w:eastAsia="Times New Roman" w:hAnsiTheme="minorHAnsi" w:cs="Times New Roman"/>
          <w:sz w:val="24"/>
          <w:szCs w:val="24"/>
        </w:rPr>
        <w:t>ollaborate with and empower students to create accessible and inclusive environments by identifying, minimizing, and where possible, eliminating barriers to equal access while encouraging equal participation for students with disabilities.</w:t>
      </w:r>
      <w:r w:rsidRPr="00B02100">
        <w:rPr>
          <w:rFonts w:asciiTheme="minorHAnsi" w:hAnsiTheme="minorHAnsi"/>
          <w:sz w:val="24"/>
          <w:szCs w:val="24"/>
        </w:rPr>
        <w:t xml:space="preserve"> The Center’s Adaptive Technology Lab houses computers and other electronic devices used by students with special needs, </w:t>
      </w:r>
      <w:r w:rsidRPr="00B02100">
        <w:rPr>
          <w:rFonts w:asciiTheme="minorHAnsi" w:hAnsiTheme="minorHAnsi"/>
          <w:sz w:val="24"/>
          <w:szCs w:val="24"/>
        </w:rPr>
        <w:lastRenderedPageBreak/>
        <w:t xml:space="preserve">including scanners, braille embossers, closed circuit televisions, and text readers. </w:t>
      </w:r>
      <w:r w:rsidRPr="00B02100">
        <w:rPr>
          <w:rFonts w:asciiTheme="minorHAnsi" w:hAnsiTheme="minorHAnsi" w:cs="Times New Roman"/>
          <w:sz w:val="24"/>
          <w:szCs w:val="24"/>
        </w:rPr>
        <w:t xml:space="preserve">By providing support services at no cost to students with disabilities, the SDRC offers an opportunity for students to achieve their academic and personal goals. </w:t>
      </w:r>
    </w:p>
    <w:p w14:paraId="566C513C" w14:textId="77777777" w:rsidR="00B02100" w:rsidRPr="00B02100" w:rsidRDefault="00B02100" w:rsidP="00B02100">
      <w:pPr>
        <w:pStyle w:val="lineheight"/>
        <w:spacing w:before="0" w:beforeAutospacing="0" w:after="0" w:afterAutospacing="0"/>
        <w:rPr>
          <w:rFonts w:asciiTheme="minorHAnsi" w:hAnsiTheme="minorHAnsi" w:cs="Times New Roman"/>
          <w:sz w:val="24"/>
          <w:szCs w:val="24"/>
        </w:rPr>
      </w:pPr>
    </w:p>
    <w:p w14:paraId="1475592B" w14:textId="77777777" w:rsidR="00B02100" w:rsidRPr="00B02100" w:rsidRDefault="00B02100" w:rsidP="00B02100">
      <w:pPr>
        <w:rPr>
          <w:rFonts w:eastAsia="Times New Roman" w:cs="Times New Roman"/>
        </w:rPr>
      </w:pPr>
      <w:r w:rsidRPr="00B02100">
        <w:rPr>
          <w:rFonts w:eastAsia="Times New Roman" w:cs="Times New Roman"/>
        </w:rPr>
        <w:t xml:space="preserve">The </w:t>
      </w:r>
      <w:r w:rsidRPr="00B02100">
        <w:rPr>
          <w:rStyle w:val="Strong"/>
          <w:rFonts w:eastAsia="Times New Roman" w:cs="Times New Roman"/>
        </w:rPr>
        <w:t>Office of Distance Learning</w:t>
      </w:r>
      <w:r w:rsidRPr="00B02100">
        <w:rPr>
          <w:rFonts w:eastAsia="Times New Roman" w:cs="Times New Roman"/>
        </w:rPr>
        <w:t xml:space="preserve"> </w:t>
      </w:r>
      <w:r w:rsidRPr="00B02100">
        <w:rPr>
          <w:rFonts w:eastAsia="Times New Roman" w:cs="Times New Roman"/>
          <w:b/>
        </w:rPr>
        <w:t>(ODL)</w:t>
      </w:r>
      <w:r w:rsidRPr="00B02100">
        <w:rPr>
          <w:rFonts w:eastAsia="Times New Roman" w:cs="Times New Roman"/>
        </w:rPr>
        <w:t xml:space="preserve"> provides leadership, policy guidance, faculty support and development, and other resources to promote, implement, facilitate, and assess University initiatives related to teaching enhancement and technology-mediated learning environments that support student academic achievement. ODL faculty and staff members collaborate with distance learning faculty and teaching assistants to promote instructional excellence through the use of effective educational and communications technologies, evidence-based instructional principles and strategies, and research studies on teaching innovations.</w:t>
      </w:r>
    </w:p>
    <w:p w14:paraId="74EA8F73" w14:textId="77777777" w:rsidR="00B02100" w:rsidRPr="00B02100" w:rsidRDefault="00B02100" w:rsidP="00B02100">
      <w:pPr>
        <w:rPr>
          <w:rFonts w:eastAsia="Times New Roman" w:cs="Times New Roman"/>
        </w:rPr>
      </w:pPr>
    </w:p>
    <w:p w14:paraId="658E1DE5" w14:textId="43F6A323" w:rsidR="00B02100" w:rsidRDefault="00B02100" w:rsidP="00B02100">
      <w:r w:rsidRPr="00B02100">
        <w:t xml:space="preserve">The </w:t>
      </w:r>
      <w:r w:rsidRPr="00B02100">
        <w:rPr>
          <w:b/>
        </w:rPr>
        <w:t>Florida State University Center for Academic &amp; Professional Development (CAPD)</w:t>
      </w:r>
      <w:r w:rsidRPr="00B02100">
        <w:t xml:space="preserve"> is the continuing education and academic program outreach entity for the campus, the community, and students. Housed in the new Augustus B. Turnbull III Florida State Conference Center, the experienced staff of CAPD support a variety of learning opportunities as they provide services to colleges, departments, and students on campus and online.</w:t>
      </w:r>
    </w:p>
    <w:p w14:paraId="67DD5B8A" w14:textId="77777777" w:rsidR="00A65483" w:rsidRPr="00B02100" w:rsidRDefault="00A65483" w:rsidP="00B02100">
      <w:bookmarkStart w:id="0" w:name="_GoBack"/>
      <w:bookmarkEnd w:id="0"/>
    </w:p>
    <w:p w14:paraId="2B069BC8" w14:textId="4EDBA03C" w:rsidR="009C3543" w:rsidRPr="00B02100" w:rsidRDefault="009C3543" w:rsidP="009C3543">
      <w:r w:rsidRPr="00B02100">
        <w:t>The</w:t>
      </w:r>
      <w:r w:rsidRPr="00B02100">
        <w:rPr>
          <w:b/>
        </w:rPr>
        <w:t xml:space="preserve"> College of Education (COE)</w:t>
      </w:r>
      <w:r w:rsidRPr="00B02100">
        <w:t xml:space="preserve">, ranked in the top 20% of the nation’s graduate schools by </w:t>
      </w:r>
      <w:r w:rsidRPr="00B02100">
        <w:rPr>
          <w:i/>
        </w:rPr>
        <w:t>U.S. News and World Report</w:t>
      </w:r>
      <w:r w:rsidRPr="00B02100">
        <w:t xml:space="preserve">, provides more than 40 academic programs that prepare administrators, teachers, researchers, policy makers, human service specialists, and other professionals via bachelor’s, master’s, and doctoral degrees, as well as specialist’s certifications, with many opportunities for online/distance learning. Students work alongside faculty to improve primary, secondary, and postsecondary education throughout both Florida and the nation with a foundation of strong academic preparation and extensive classroom experience. The College’s award-winning faculty members pursue research and scholarship that expands the frontiers of knowledge in their areas of expertise. Their cutting-edge research enriches and informs classroom teaching and their achievements gain national and international recognition. </w:t>
      </w:r>
    </w:p>
    <w:p w14:paraId="1E9C034D" w14:textId="77777777" w:rsidR="009C3543" w:rsidRPr="00B02100" w:rsidRDefault="009C3543" w:rsidP="009C3543">
      <w:pPr>
        <w:rPr>
          <w:b/>
        </w:rPr>
      </w:pPr>
    </w:p>
    <w:p w14:paraId="1F81B073" w14:textId="77777777" w:rsidR="009C3543" w:rsidRPr="00B02100" w:rsidRDefault="009C3543" w:rsidP="009C3543">
      <w:r w:rsidRPr="00B02100">
        <w:rPr>
          <w:b/>
        </w:rPr>
        <w:t xml:space="preserve">FSU-Teach </w:t>
      </w:r>
      <w:r w:rsidRPr="00B02100">
        <w:t>is an innovative and collaborative program between Florida State University’s College of Arts and Sciences and College of Education that allows students to expand their understanding of their science or mathematics majors, explore the possibility of becoming mathematics or science teachers, and develop a deep knowledge of teaching. FSU-Teach rests on the collaboration between mathematics, science, and education faculty at FSU, as well as teaching experts in local schools, to simultaneously prepare students for a career in a mathematics or science profession, and the teaching of mathematics or science.</w:t>
      </w:r>
    </w:p>
    <w:p w14:paraId="4AB28FAF" w14:textId="088AA400" w:rsidR="009C3543" w:rsidRPr="00B02100" w:rsidRDefault="009C3543" w:rsidP="008C018C"/>
    <w:p w14:paraId="3D14A6CE" w14:textId="77777777" w:rsidR="00B02100" w:rsidRPr="00B02100" w:rsidRDefault="00B02100" w:rsidP="00453988">
      <w:pPr>
        <w:spacing w:after="200"/>
        <w:rPr>
          <w:rFonts w:eastAsiaTheme="minorHAnsi"/>
        </w:rPr>
      </w:pPr>
      <w:r w:rsidRPr="00B02100">
        <w:rPr>
          <w:rFonts w:eastAsiaTheme="minorHAnsi"/>
        </w:rPr>
        <w:t xml:space="preserve">The </w:t>
      </w:r>
      <w:r w:rsidRPr="00B02100">
        <w:rPr>
          <w:rFonts w:eastAsiaTheme="minorHAnsi"/>
          <w:b/>
        </w:rPr>
        <w:t>Department of Biomedical Sciences</w:t>
      </w:r>
      <w:r w:rsidRPr="00B02100">
        <w:rPr>
          <w:rFonts w:eastAsiaTheme="minorHAnsi"/>
        </w:rPr>
        <w:t xml:space="preserve"> is the basic science research and teaching arm of the College of Medicine.  The department includes 27 research faculty—20 tenured, 6 tenure track and 11 research faculty.  Research areas include neuroscience, genetics &amp; genomics, molecular structure and function, cell biology and development, stem cell and cancer biology, and cardiovascular disease.  The department has continued to expand and grow in research strength and expertise, as evidenced by continued increases in both proposals as well as awards every year for the past five years.</w:t>
      </w:r>
    </w:p>
    <w:p w14:paraId="5C4FF331" w14:textId="4A8C9EC5" w:rsidR="00B02100" w:rsidRPr="00B02100" w:rsidRDefault="00B02100" w:rsidP="00453988">
      <w:pPr>
        <w:spacing w:after="200"/>
        <w:rPr>
          <w:rFonts w:eastAsiaTheme="minorHAnsi"/>
        </w:rPr>
      </w:pPr>
      <w:r w:rsidRPr="00B02100">
        <w:rPr>
          <w:rFonts w:eastAsiaTheme="minorHAnsi"/>
        </w:rPr>
        <w:lastRenderedPageBreak/>
        <w:t xml:space="preserve">The </w:t>
      </w:r>
      <w:r w:rsidRPr="00B02100">
        <w:rPr>
          <w:rFonts w:eastAsiaTheme="minorHAnsi"/>
          <w:b/>
        </w:rPr>
        <w:t>FSU Department of Computer Science</w:t>
      </w:r>
      <w:r w:rsidRPr="00B02100">
        <w:rPr>
          <w:rFonts w:eastAsiaTheme="minorHAnsi"/>
        </w:rPr>
        <w:t xml:space="preserve"> (CS) at Florida State University offers Bachelor programs in Computer Science, three Master of Science tracks, and Doctoral degrees in Computer Science.  The department includes 27 faculty</w:t>
      </w:r>
      <w:r>
        <w:rPr>
          <w:rFonts w:eastAsiaTheme="minorHAnsi"/>
        </w:rPr>
        <w:t xml:space="preserve"> members</w:t>
      </w:r>
      <w:r w:rsidRPr="00B02100">
        <w:rPr>
          <w:rFonts w:eastAsiaTheme="minorHAnsi"/>
        </w:rPr>
        <w:t>—15 tenured, 6 tenure track and 6 teaching/specialist faculty.  FSU’s CS department is home to five NSF CAREER Award winners, a US Dept. of Energy Early Career Principal Investigator Award winner, an AFOSR Young Investigator Award winner, three Fulbright Scholar Award winners, an IEEE Fellow, ACM Distinguished Scientists, and a FSU Distinguished Research Professor. CS faculty are among the world’s leaders in Algorithms, Architecture, Databases, Distributed Systems, High-Performance Computing, Networking, Programming Languages and Compilers, Scientific Computing, Security, Software Engineering, and Vision.  Research and education programs are cutting edge.  The CS department has shown steady growth in proposal submissions and in the last year alone has over doubled both their awards both in number and dollar amount.</w:t>
      </w:r>
    </w:p>
    <w:p w14:paraId="02318E26" w14:textId="77777777" w:rsidR="00B02100" w:rsidRPr="00B02100" w:rsidRDefault="00B02100" w:rsidP="00453988">
      <w:pPr>
        <w:spacing w:after="200"/>
        <w:rPr>
          <w:rFonts w:eastAsiaTheme="minorHAnsi"/>
        </w:rPr>
      </w:pPr>
      <w:r w:rsidRPr="00B02100">
        <w:rPr>
          <w:rFonts w:eastAsiaTheme="minorHAnsi"/>
        </w:rPr>
        <w:t xml:space="preserve">The </w:t>
      </w:r>
      <w:r w:rsidRPr="00B02100">
        <w:rPr>
          <w:rFonts w:eastAsiaTheme="minorHAnsi"/>
          <w:b/>
        </w:rPr>
        <w:t>FSU Department of Chemistry and Biochemistry</w:t>
      </w:r>
      <w:r w:rsidRPr="00B02100">
        <w:rPr>
          <w:rFonts w:eastAsiaTheme="minorHAnsi"/>
        </w:rPr>
        <w:t xml:space="preserve"> is comprised of 32 research faculty with 26 tenured and 6 and tenure track. Awards and proposal numbers are impressive for the Department of Chemistry and Biochemistry.  Proposals submitted have been increasing each year for the past five years and awards follow a similar trajectory. In the past five years (2011-2016), awards have totaled over $33 million dollars. Chemistry &amp; Biochemistry faculty members and students continually receive accolades for their efforts.  Examples of successes include Dr. Thomas Albrecht-Schmidt’s recent $10 million award for a nuclear research center from the U.S. Department of Energy, Dr. Yan-Yan Hu’s 2017 Marion Milligan Mason Award from the American Association for the Advancement of Science, and a record number of highly competitive Graduate Research Fellowships from the National Science Foundation in 2017.  </w:t>
      </w:r>
    </w:p>
    <w:p w14:paraId="4226F822" w14:textId="5DFA4D9F" w:rsidR="00B02100" w:rsidRPr="00B02100" w:rsidRDefault="007624E7" w:rsidP="00453988">
      <w:pPr>
        <w:spacing w:after="200"/>
        <w:rPr>
          <w:rFonts w:eastAsiaTheme="minorHAnsi"/>
        </w:rPr>
      </w:pPr>
      <w:hyperlink r:id="rId8" w:history="1">
        <w:r w:rsidR="00217CA7">
          <w:rPr>
            <w:rStyle w:val="Hyperlink"/>
            <w:rFonts w:eastAsiaTheme="minorHAnsi"/>
          </w:rPr>
          <w:t>FSU Highlights and Rankings</w:t>
        </w:r>
      </w:hyperlink>
      <w:r>
        <w:rPr>
          <w:rFonts w:eastAsiaTheme="minorHAnsi"/>
        </w:rPr>
        <w:t xml:space="preserve"> </w:t>
      </w:r>
    </w:p>
    <w:p w14:paraId="49C2466D" w14:textId="77777777" w:rsidR="00B02100" w:rsidRPr="00B02100" w:rsidRDefault="00B02100" w:rsidP="00453988"/>
    <w:p w14:paraId="512D0E9B" w14:textId="77777777" w:rsidR="00A118B8" w:rsidRPr="00B02100" w:rsidRDefault="00A118B8" w:rsidP="00453988"/>
    <w:sectPr w:rsidR="00A118B8" w:rsidRPr="00B021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3B7A" w14:textId="77777777" w:rsidR="00C82CD8" w:rsidRDefault="00C82CD8" w:rsidP="00D14E5F">
      <w:r>
        <w:separator/>
      </w:r>
    </w:p>
  </w:endnote>
  <w:endnote w:type="continuationSeparator" w:id="0">
    <w:p w14:paraId="09812E60" w14:textId="77777777" w:rsidR="00C82CD8" w:rsidRDefault="00C82CD8" w:rsidP="00D1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E5859F43758040A0839744C0562C5310"/>
      </w:placeholder>
      <w:temporary/>
      <w:showingPlcHdr/>
      <w15:appearance w15:val="hidden"/>
    </w:sdtPr>
    <w:sdtContent>
      <w:p w14:paraId="5DD952B9" w14:textId="77777777" w:rsidR="00D14E5F" w:rsidRDefault="00D14E5F">
        <w:pPr>
          <w:pStyle w:val="Footer"/>
        </w:pPr>
        <w:r>
          <w:t>[Type here]</w:t>
        </w:r>
      </w:p>
    </w:sdtContent>
  </w:sdt>
  <w:p w14:paraId="0F2ABA94" w14:textId="77777777" w:rsidR="00D14E5F" w:rsidRDefault="00D1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356F1" w14:textId="77777777" w:rsidR="00C82CD8" w:rsidRDefault="00C82CD8" w:rsidP="00D14E5F">
      <w:r>
        <w:separator/>
      </w:r>
    </w:p>
  </w:footnote>
  <w:footnote w:type="continuationSeparator" w:id="0">
    <w:p w14:paraId="484B3D80" w14:textId="77777777" w:rsidR="00C82CD8" w:rsidRDefault="00C82CD8" w:rsidP="00D14E5F">
      <w:r>
        <w:continuationSeparator/>
      </w:r>
    </w:p>
  </w:footnote>
  <w:footnote w:id="1">
    <w:p w14:paraId="7D623FE4" w14:textId="47FBEDE4" w:rsidR="00947DE7" w:rsidRDefault="00947DE7">
      <w:pPr>
        <w:pStyle w:val="FootnoteText"/>
      </w:pPr>
      <w:r>
        <w:rPr>
          <w:rStyle w:val="FootnoteReference"/>
        </w:rPr>
        <w:footnoteRef/>
      </w:r>
      <w:r>
        <w:t xml:space="preserve"> </w:t>
      </w:r>
      <w:hyperlink r:id="rId1" w:history="1">
        <w:r w:rsidRPr="00947DE7">
          <w:rPr>
            <w:rStyle w:val="Hyperlink"/>
          </w:rPr>
          <w:t>Degree Programs</w:t>
        </w:r>
      </w:hyperlink>
    </w:p>
  </w:footnote>
  <w:footnote w:id="2">
    <w:p w14:paraId="405084A3" w14:textId="47F25CF1" w:rsidR="006B0827" w:rsidRDefault="006B0827">
      <w:pPr>
        <w:pStyle w:val="FootnoteText"/>
      </w:pPr>
      <w:r>
        <w:rPr>
          <w:rStyle w:val="FootnoteReference"/>
        </w:rPr>
        <w:footnoteRef/>
      </w:r>
      <w:r>
        <w:t xml:space="preserve"> </w:t>
      </w:r>
      <w:hyperlink r:id="rId2" w:history="1">
        <w:r w:rsidRPr="006B0827">
          <w:rPr>
            <w:rStyle w:val="Hyperlink"/>
          </w:rPr>
          <w:t>Student Fact Sheet</w:t>
        </w:r>
      </w:hyperlink>
    </w:p>
  </w:footnote>
  <w:footnote w:id="3">
    <w:p w14:paraId="7D0D18C5" w14:textId="5201A0A8" w:rsidR="00D14E5F" w:rsidRDefault="00D14E5F">
      <w:pPr>
        <w:pStyle w:val="FootnoteText"/>
      </w:pPr>
      <w:r>
        <w:rPr>
          <w:rStyle w:val="FootnoteReference"/>
        </w:rPr>
        <w:footnoteRef/>
      </w:r>
      <w:r>
        <w:t xml:space="preserve"> </w:t>
      </w:r>
      <w:hyperlink r:id="rId3" w:history="1">
        <w:r w:rsidRPr="00D14E5F">
          <w:rPr>
            <w:rStyle w:val="Hyperlink"/>
          </w:rPr>
          <w:t>Strong Students and Outcomes</w:t>
        </w:r>
      </w:hyperlink>
    </w:p>
  </w:footnote>
  <w:footnote w:id="4">
    <w:p w14:paraId="3D159533" w14:textId="746FAEB4" w:rsidR="005979C3" w:rsidRDefault="005979C3">
      <w:pPr>
        <w:pStyle w:val="FootnoteText"/>
      </w:pPr>
      <w:r>
        <w:rPr>
          <w:rStyle w:val="FootnoteReference"/>
        </w:rPr>
        <w:footnoteRef/>
      </w:r>
      <w:r>
        <w:t xml:space="preserve"> </w:t>
      </w:r>
      <w:hyperlink r:id="rId4" w:history="1">
        <w:r w:rsidRPr="005979C3">
          <w:rPr>
            <w:rStyle w:val="Hyperlink"/>
          </w:rPr>
          <w:t>Top Public Schools</w:t>
        </w:r>
      </w:hyperlink>
    </w:p>
  </w:footnote>
  <w:footnote w:id="5">
    <w:p w14:paraId="21392F5D" w14:textId="651573AF" w:rsidR="005979C3" w:rsidRDefault="005979C3">
      <w:pPr>
        <w:pStyle w:val="FootnoteText"/>
      </w:pPr>
      <w:r>
        <w:rPr>
          <w:rStyle w:val="FootnoteReference"/>
        </w:rPr>
        <w:footnoteRef/>
      </w:r>
      <w:r>
        <w:t xml:space="preserve"> </w:t>
      </w:r>
      <w:hyperlink r:id="rId5" w:history="1">
        <w:r w:rsidRPr="00A86812">
          <w:rPr>
            <w:rStyle w:val="Hyperlink"/>
          </w:rPr>
          <w:t>A Preeminent</w:t>
        </w:r>
        <w:r w:rsidR="00A86812" w:rsidRPr="00A86812">
          <w:rPr>
            <w:rStyle w:val="Hyperlink"/>
          </w:rPr>
          <w:t xml:space="preserve"> Florida University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7C97"/>
    <w:multiLevelType w:val="hybridMultilevel"/>
    <w:tmpl w:val="E60A9C6C"/>
    <w:lvl w:ilvl="0" w:tplc="6C0C6A78">
      <w:start w:val="1"/>
      <w:numFmt w:val="bullet"/>
      <w:lvlText w:val="•"/>
      <w:lvlJc w:val="left"/>
      <w:pPr>
        <w:tabs>
          <w:tab w:val="num" w:pos="720"/>
        </w:tabs>
        <w:ind w:left="720" w:hanging="360"/>
      </w:pPr>
      <w:rPr>
        <w:rFonts w:ascii="Times" w:hAnsi="Times" w:hint="default"/>
      </w:rPr>
    </w:lvl>
    <w:lvl w:ilvl="1" w:tplc="07689606" w:tentative="1">
      <w:start w:val="1"/>
      <w:numFmt w:val="bullet"/>
      <w:lvlText w:val="•"/>
      <w:lvlJc w:val="left"/>
      <w:pPr>
        <w:tabs>
          <w:tab w:val="num" w:pos="1440"/>
        </w:tabs>
        <w:ind w:left="1440" w:hanging="360"/>
      </w:pPr>
      <w:rPr>
        <w:rFonts w:ascii="Times" w:hAnsi="Times" w:hint="default"/>
      </w:rPr>
    </w:lvl>
    <w:lvl w:ilvl="2" w:tplc="DF869596" w:tentative="1">
      <w:start w:val="1"/>
      <w:numFmt w:val="bullet"/>
      <w:lvlText w:val="•"/>
      <w:lvlJc w:val="left"/>
      <w:pPr>
        <w:tabs>
          <w:tab w:val="num" w:pos="2160"/>
        </w:tabs>
        <w:ind w:left="2160" w:hanging="360"/>
      </w:pPr>
      <w:rPr>
        <w:rFonts w:ascii="Times" w:hAnsi="Times" w:hint="default"/>
      </w:rPr>
    </w:lvl>
    <w:lvl w:ilvl="3" w:tplc="1E643630" w:tentative="1">
      <w:start w:val="1"/>
      <w:numFmt w:val="bullet"/>
      <w:lvlText w:val="•"/>
      <w:lvlJc w:val="left"/>
      <w:pPr>
        <w:tabs>
          <w:tab w:val="num" w:pos="2880"/>
        </w:tabs>
        <w:ind w:left="2880" w:hanging="360"/>
      </w:pPr>
      <w:rPr>
        <w:rFonts w:ascii="Times" w:hAnsi="Times" w:hint="default"/>
      </w:rPr>
    </w:lvl>
    <w:lvl w:ilvl="4" w:tplc="24F4EB3A" w:tentative="1">
      <w:start w:val="1"/>
      <w:numFmt w:val="bullet"/>
      <w:lvlText w:val="•"/>
      <w:lvlJc w:val="left"/>
      <w:pPr>
        <w:tabs>
          <w:tab w:val="num" w:pos="3600"/>
        </w:tabs>
        <w:ind w:left="3600" w:hanging="360"/>
      </w:pPr>
      <w:rPr>
        <w:rFonts w:ascii="Times" w:hAnsi="Times" w:hint="default"/>
      </w:rPr>
    </w:lvl>
    <w:lvl w:ilvl="5" w:tplc="CD8E4A7A" w:tentative="1">
      <w:start w:val="1"/>
      <w:numFmt w:val="bullet"/>
      <w:lvlText w:val="•"/>
      <w:lvlJc w:val="left"/>
      <w:pPr>
        <w:tabs>
          <w:tab w:val="num" w:pos="4320"/>
        </w:tabs>
        <w:ind w:left="4320" w:hanging="360"/>
      </w:pPr>
      <w:rPr>
        <w:rFonts w:ascii="Times" w:hAnsi="Times" w:hint="default"/>
      </w:rPr>
    </w:lvl>
    <w:lvl w:ilvl="6" w:tplc="835CBEF4" w:tentative="1">
      <w:start w:val="1"/>
      <w:numFmt w:val="bullet"/>
      <w:lvlText w:val="•"/>
      <w:lvlJc w:val="left"/>
      <w:pPr>
        <w:tabs>
          <w:tab w:val="num" w:pos="5040"/>
        </w:tabs>
        <w:ind w:left="5040" w:hanging="360"/>
      </w:pPr>
      <w:rPr>
        <w:rFonts w:ascii="Times" w:hAnsi="Times" w:hint="default"/>
      </w:rPr>
    </w:lvl>
    <w:lvl w:ilvl="7" w:tplc="4D6A338E" w:tentative="1">
      <w:start w:val="1"/>
      <w:numFmt w:val="bullet"/>
      <w:lvlText w:val="•"/>
      <w:lvlJc w:val="left"/>
      <w:pPr>
        <w:tabs>
          <w:tab w:val="num" w:pos="5760"/>
        </w:tabs>
        <w:ind w:left="5760" w:hanging="360"/>
      </w:pPr>
      <w:rPr>
        <w:rFonts w:ascii="Times" w:hAnsi="Times" w:hint="default"/>
      </w:rPr>
    </w:lvl>
    <w:lvl w:ilvl="8" w:tplc="57A4A1D4"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644917B1"/>
    <w:multiLevelType w:val="multilevel"/>
    <w:tmpl w:val="0D08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1D"/>
    <w:rsid w:val="00001A96"/>
    <w:rsid w:val="000022A0"/>
    <w:rsid w:val="0001208D"/>
    <w:rsid w:val="00054745"/>
    <w:rsid w:val="00087967"/>
    <w:rsid w:val="000B6D20"/>
    <w:rsid w:val="000B7D38"/>
    <w:rsid w:val="00197E3E"/>
    <w:rsid w:val="00213FDF"/>
    <w:rsid w:val="00217CA7"/>
    <w:rsid w:val="00250DA9"/>
    <w:rsid w:val="0025670D"/>
    <w:rsid w:val="002F5AC4"/>
    <w:rsid w:val="00303BFD"/>
    <w:rsid w:val="00320B20"/>
    <w:rsid w:val="003C212B"/>
    <w:rsid w:val="003F366D"/>
    <w:rsid w:val="004443B9"/>
    <w:rsid w:val="00453988"/>
    <w:rsid w:val="00487F82"/>
    <w:rsid w:val="004A7DD6"/>
    <w:rsid w:val="005603DC"/>
    <w:rsid w:val="005979C3"/>
    <w:rsid w:val="005C3258"/>
    <w:rsid w:val="006B0827"/>
    <w:rsid w:val="006B7BD1"/>
    <w:rsid w:val="006E1262"/>
    <w:rsid w:val="006E63F7"/>
    <w:rsid w:val="00724F89"/>
    <w:rsid w:val="007624E7"/>
    <w:rsid w:val="007E5AC5"/>
    <w:rsid w:val="0083088A"/>
    <w:rsid w:val="008C018C"/>
    <w:rsid w:val="00947DE7"/>
    <w:rsid w:val="009C3543"/>
    <w:rsid w:val="009D561D"/>
    <w:rsid w:val="009F5A18"/>
    <w:rsid w:val="00A117CA"/>
    <w:rsid w:val="00A118B8"/>
    <w:rsid w:val="00A648D0"/>
    <w:rsid w:val="00A65483"/>
    <w:rsid w:val="00A7111C"/>
    <w:rsid w:val="00A86812"/>
    <w:rsid w:val="00AF0116"/>
    <w:rsid w:val="00B02100"/>
    <w:rsid w:val="00B17938"/>
    <w:rsid w:val="00B708F9"/>
    <w:rsid w:val="00B81339"/>
    <w:rsid w:val="00BA2929"/>
    <w:rsid w:val="00BB7629"/>
    <w:rsid w:val="00C64D55"/>
    <w:rsid w:val="00C82CD8"/>
    <w:rsid w:val="00C92876"/>
    <w:rsid w:val="00CB1185"/>
    <w:rsid w:val="00CF206F"/>
    <w:rsid w:val="00D14E5F"/>
    <w:rsid w:val="00D54B26"/>
    <w:rsid w:val="00D57AE5"/>
    <w:rsid w:val="00D600E5"/>
    <w:rsid w:val="00D76416"/>
    <w:rsid w:val="00DC1F2B"/>
    <w:rsid w:val="00E2466E"/>
    <w:rsid w:val="00E7268E"/>
    <w:rsid w:val="00F44DBA"/>
    <w:rsid w:val="00F71168"/>
    <w:rsid w:val="00F818B4"/>
    <w:rsid w:val="00FA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50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1D"/>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61D"/>
    <w:rPr>
      <w:b/>
      <w:bCs/>
    </w:rPr>
  </w:style>
  <w:style w:type="paragraph" w:customStyle="1" w:styleId="lineheight">
    <w:name w:val="lineheight"/>
    <w:basedOn w:val="Normal"/>
    <w:rsid w:val="009D561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17938"/>
    <w:rPr>
      <w:rFonts w:ascii="Tahoma" w:hAnsi="Tahoma" w:cs="Tahoma"/>
      <w:sz w:val="16"/>
      <w:szCs w:val="16"/>
    </w:rPr>
  </w:style>
  <w:style w:type="character" w:customStyle="1" w:styleId="BalloonTextChar">
    <w:name w:val="Balloon Text Char"/>
    <w:basedOn w:val="DefaultParagraphFont"/>
    <w:link w:val="BalloonText"/>
    <w:uiPriority w:val="99"/>
    <w:semiHidden/>
    <w:rsid w:val="00B1793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17938"/>
    <w:rPr>
      <w:sz w:val="16"/>
      <w:szCs w:val="16"/>
    </w:rPr>
  </w:style>
  <w:style w:type="paragraph" w:styleId="CommentText">
    <w:name w:val="annotation text"/>
    <w:basedOn w:val="Normal"/>
    <w:link w:val="CommentTextChar"/>
    <w:uiPriority w:val="99"/>
    <w:semiHidden/>
    <w:unhideWhenUsed/>
    <w:rsid w:val="00B17938"/>
    <w:rPr>
      <w:sz w:val="20"/>
      <w:szCs w:val="20"/>
    </w:rPr>
  </w:style>
  <w:style w:type="character" w:customStyle="1" w:styleId="CommentTextChar">
    <w:name w:val="Comment Text Char"/>
    <w:basedOn w:val="DefaultParagraphFont"/>
    <w:link w:val="CommentText"/>
    <w:uiPriority w:val="99"/>
    <w:semiHidden/>
    <w:rsid w:val="00B1793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17938"/>
    <w:rPr>
      <w:b/>
      <w:bCs/>
    </w:rPr>
  </w:style>
  <w:style w:type="character" w:customStyle="1" w:styleId="CommentSubjectChar">
    <w:name w:val="Comment Subject Char"/>
    <w:basedOn w:val="CommentTextChar"/>
    <w:link w:val="CommentSubject"/>
    <w:uiPriority w:val="99"/>
    <w:semiHidden/>
    <w:rsid w:val="00B17938"/>
    <w:rPr>
      <w:rFonts w:eastAsiaTheme="minorEastAsia"/>
      <w:b/>
      <w:bCs/>
      <w:sz w:val="20"/>
      <w:szCs w:val="20"/>
    </w:rPr>
  </w:style>
  <w:style w:type="character" w:styleId="Hyperlink">
    <w:name w:val="Hyperlink"/>
    <w:basedOn w:val="DefaultParagraphFont"/>
    <w:uiPriority w:val="99"/>
    <w:unhideWhenUsed/>
    <w:rsid w:val="007624E7"/>
    <w:rPr>
      <w:color w:val="0000FF" w:themeColor="hyperlink"/>
      <w:u w:val="single"/>
    </w:rPr>
  </w:style>
  <w:style w:type="paragraph" w:styleId="Header">
    <w:name w:val="header"/>
    <w:basedOn w:val="Normal"/>
    <w:link w:val="HeaderChar"/>
    <w:uiPriority w:val="99"/>
    <w:unhideWhenUsed/>
    <w:rsid w:val="00D14E5F"/>
    <w:pPr>
      <w:tabs>
        <w:tab w:val="center" w:pos="4680"/>
        <w:tab w:val="right" w:pos="9360"/>
      </w:tabs>
    </w:pPr>
  </w:style>
  <w:style w:type="character" w:customStyle="1" w:styleId="HeaderChar">
    <w:name w:val="Header Char"/>
    <w:basedOn w:val="DefaultParagraphFont"/>
    <w:link w:val="Header"/>
    <w:uiPriority w:val="99"/>
    <w:rsid w:val="00D14E5F"/>
    <w:rPr>
      <w:rFonts w:eastAsiaTheme="minorEastAsia"/>
      <w:sz w:val="24"/>
      <w:szCs w:val="24"/>
    </w:rPr>
  </w:style>
  <w:style w:type="paragraph" w:styleId="Footer">
    <w:name w:val="footer"/>
    <w:basedOn w:val="Normal"/>
    <w:link w:val="FooterChar"/>
    <w:uiPriority w:val="99"/>
    <w:unhideWhenUsed/>
    <w:rsid w:val="00D14E5F"/>
    <w:pPr>
      <w:tabs>
        <w:tab w:val="center" w:pos="4680"/>
        <w:tab w:val="right" w:pos="9360"/>
      </w:tabs>
    </w:pPr>
  </w:style>
  <w:style w:type="character" w:customStyle="1" w:styleId="FooterChar">
    <w:name w:val="Footer Char"/>
    <w:basedOn w:val="DefaultParagraphFont"/>
    <w:link w:val="Footer"/>
    <w:uiPriority w:val="99"/>
    <w:rsid w:val="00D14E5F"/>
    <w:rPr>
      <w:rFonts w:eastAsiaTheme="minorEastAsia"/>
      <w:sz w:val="24"/>
      <w:szCs w:val="24"/>
    </w:rPr>
  </w:style>
  <w:style w:type="paragraph" w:styleId="EndnoteText">
    <w:name w:val="endnote text"/>
    <w:basedOn w:val="Normal"/>
    <w:link w:val="EndnoteTextChar"/>
    <w:uiPriority w:val="99"/>
    <w:semiHidden/>
    <w:unhideWhenUsed/>
    <w:rsid w:val="00D14E5F"/>
    <w:rPr>
      <w:sz w:val="20"/>
      <w:szCs w:val="20"/>
    </w:rPr>
  </w:style>
  <w:style w:type="character" w:customStyle="1" w:styleId="EndnoteTextChar">
    <w:name w:val="Endnote Text Char"/>
    <w:basedOn w:val="DefaultParagraphFont"/>
    <w:link w:val="EndnoteText"/>
    <w:uiPriority w:val="99"/>
    <w:semiHidden/>
    <w:rsid w:val="00D14E5F"/>
    <w:rPr>
      <w:rFonts w:eastAsiaTheme="minorEastAsia"/>
      <w:sz w:val="20"/>
      <w:szCs w:val="20"/>
    </w:rPr>
  </w:style>
  <w:style w:type="character" w:styleId="EndnoteReference">
    <w:name w:val="endnote reference"/>
    <w:basedOn w:val="DefaultParagraphFont"/>
    <w:uiPriority w:val="99"/>
    <w:semiHidden/>
    <w:unhideWhenUsed/>
    <w:rsid w:val="00D14E5F"/>
    <w:rPr>
      <w:vertAlign w:val="superscript"/>
    </w:rPr>
  </w:style>
  <w:style w:type="paragraph" w:styleId="FootnoteText">
    <w:name w:val="footnote text"/>
    <w:basedOn w:val="Normal"/>
    <w:link w:val="FootnoteTextChar"/>
    <w:uiPriority w:val="99"/>
    <w:semiHidden/>
    <w:unhideWhenUsed/>
    <w:rsid w:val="00D14E5F"/>
    <w:rPr>
      <w:sz w:val="20"/>
      <w:szCs w:val="20"/>
    </w:rPr>
  </w:style>
  <w:style w:type="character" w:customStyle="1" w:styleId="FootnoteTextChar">
    <w:name w:val="Footnote Text Char"/>
    <w:basedOn w:val="DefaultParagraphFont"/>
    <w:link w:val="FootnoteText"/>
    <w:uiPriority w:val="99"/>
    <w:semiHidden/>
    <w:rsid w:val="00D14E5F"/>
    <w:rPr>
      <w:rFonts w:eastAsiaTheme="minorEastAsia"/>
      <w:sz w:val="20"/>
      <w:szCs w:val="20"/>
    </w:rPr>
  </w:style>
  <w:style w:type="character" w:styleId="FootnoteReference">
    <w:name w:val="footnote reference"/>
    <w:basedOn w:val="DefaultParagraphFont"/>
    <w:uiPriority w:val="99"/>
    <w:semiHidden/>
    <w:unhideWhenUsed/>
    <w:rsid w:val="00D14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3602">
      <w:bodyDiv w:val="1"/>
      <w:marLeft w:val="0"/>
      <w:marRight w:val="0"/>
      <w:marTop w:val="0"/>
      <w:marBottom w:val="0"/>
      <w:divBdr>
        <w:top w:val="none" w:sz="0" w:space="0" w:color="auto"/>
        <w:left w:val="none" w:sz="0" w:space="0" w:color="auto"/>
        <w:bottom w:val="none" w:sz="0" w:space="0" w:color="auto"/>
        <w:right w:val="none" w:sz="0" w:space="0" w:color="auto"/>
      </w:divBdr>
    </w:div>
    <w:div w:id="17187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edu/highlights/ranking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su.edu/highlights/students.html" TargetMode="External"/><Relationship Id="rId2" Type="http://schemas.openxmlformats.org/officeDocument/2006/relationships/hyperlink" Target="http://www.ir.fsu.edu/facts.aspx" TargetMode="External"/><Relationship Id="rId1" Type="http://schemas.openxmlformats.org/officeDocument/2006/relationships/hyperlink" Target="http://www.gradschool.fsu.edu/academics-research/degree-programs" TargetMode="External"/><Relationship Id="rId5" Type="http://schemas.openxmlformats.org/officeDocument/2006/relationships/hyperlink" Target="https://preeminence.fsu.edu/" TargetMode="External"/><Relationship Id="rId4" Type="http://schemas.openxmlformats.org/officeDocument/2006/relationships/hyperlink" Target="https://www.usnews.com/best-colleges/rankings/national-universities/top-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859F43758040A0839744C0562C5310"/>
        <w:category>
          <w:name w:val="General"/>
          <w:gallery w:val="placeholder"/>
        </w:category>
        <w:types>
          <w:type w:val="bbPlcHdr"/>
        </w:types>
        <w:behaviors>
          <w:behavior w:val="content"/>
        </w:behaviors>
        <w:guid w:val="{123BBF80-E8FA-40D4-9966-CF700AD44438}"/>
      </w:docPartPr>
      <w:docPartBody>
        <w:p w:rsidR="00000000" w:rsidRDefault="00D2708D" w:rsidP="00D2708D">
          <w:pPr>
            <w:pStyle w:val="E5859F43758040A0839744C0562C531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8D"/>
    <w:rsid w:val="00BA40F2"/>
    <w:rsid w:val="00D2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59F43758040A0839744C0562C5310">
    <w:name w:val="E5859F43758040A0839744C0562C5310"/>
    <w:rsid w:val="00D27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0E13-FC12-4164-86FE-BA6E1538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Monica Key</cp:lastModifiedBy>
  <cp:revision>4</cp:revision>
  <dcterms:created xsi:type="dcterms:W3CDTF">2018-01-11T19:39:00Z</dcterms:created>
  <dcterms:modified xsi:type="dcterms:W3CDTF">2018-03-06T19:34:00Z</dcterms:modified>
</cp:coreProperties>
</file>