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5884" w14:textId="43C67EFC" w:rsidR="00B12E46" w:rsidRDefault="00780298">
      <w:r w:rsidRPr="00780298">
        <w:t xml:space="preserve">Robyn Blank is the Chief Compliance and Ethics Officer for Florida State University.  In that role, she oversees the university’s compliance and ethics programs, including international, federal, state, and local requirements in areas ranging from athletics to research.  She previously served for six years as Associate General Counsel at FSU, focusing on open government and student affairs.  A Tallahassee native, she currently serves as the University President’s appointee on the City of Tallahassee’s Independent Ethics Board and as an adjunct instructor at the College of Education.  Robyn is an alumna of Emory University (’03) and Florida State University College of Law (’06).    </w:t>
      </w:r>
    </w:p>
    <w:sectPr w:rsidR="00B1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98"/>
    <w:rsid w:val="00780298"/>
    <w:rsid w:val="00B1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7D5B"/>
  <w15:chartTrackingRefBased/>
  <w15:docId w15:val="{C90BBE75-831A-4088-80D3-75245C77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2021-09-20T14:45:00Z</dcterms:created>
  <dcterms:modified xsi:type="dcterms:W3CDTF">2021-09-20T14:46:00Z</dcterms:modified>
</cp:coreProperties>
</file>