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940E1" w14:textId="77777777" w:rsidR="002F48C9" w:rsidRDefault="00CC72CF">
      <w:pPr>
        <w:rPr>
          <w:i/>
          <w:sz w:val="28"/>
          <w:szCs w:val="28"/>
        </w:rPr>
      </w:pPr>
      <w:r w:rsidRPr="00697966">
        <w:rPr>
          <w:b/>
          <w:sz w:val="32"/>
          <w:szCs w:val="32"/>
        </w:rPr>
        <w:t>FSU</w:t>
      </w:r>
      <w:r w:rsidR="00082070" w:rsidRPr="00697966">
        <w:rPr>
          <w:b/>
          <w:sz w:val="32"/>
          <w:szCs w:val="32"/>
        </w:rPr>
        <w:t xml:space="preserve"> F&amp;A</w:t>
      </w:r>
      <w:r w:rsidR="008451FB" w:rsidRPr="00697966">
        <w:rPr>
          <w:b/>
          <w:sz w:val="32"/>
          <w:szCs w:val="32"/>
        </w:rPr>
        <w:t xml:space="preserve"> / IDC</w:t>
      </w:r>
      <w:r w:rsidR="00082070" w:rsidRPr="00697966">
        <w:rPr>
          <w:b/>
          <w:sz w:val="32"/>
          <w:szCs w:val="32"/>
        </w:rPr>
        <w:t xml:space="preserve"> </w:t>
      </w:r>
      <w:r w:rsidR="008451FB" w:rsidRPr="00697966">
        <w:rPr>
          <w:b/>
          <w:sz w:val="32"/>
          <w:szCs w:val="32"/>
        </w:rPr>
        <w:t xml:space="preserve">Rate </w:t>
      </w:r>
      <w:r w:rsidR="00082070" w:rsidRPr="00697966">
        <w:rPr>
          <w:b/>
          <w:sz w:val="32"/>
          <w:szCs w:val="32"/>
        </w:rPr>
        <w:t>Agreement Guidance</w:t>
      </w:r>
      <w:r w:rsidR="004A2606" w:rsidRPr="00697966">
        <w:rPr>
          <w:b/>
          <w:sz w:val="32"/>
          <w:szCs w:val="32"/>
        </w:rPr>
        <w:t xml:space="preserve"> and FAQ’s</w:t>
      </w:r>
      <w:r w:rsidR="00082070" w:rsidRPr="00082070">
        <w:rPr>
          <w:sz w:val="28"/>
          <w:szCs w:val="28"/>
        </w:rPr>
        <w:t xml:space="preserve"> </w:t>
      </w:r>
    </w:p>
    <w:p w14:paraId="6A99B885" w14:textId="27601D51" w:rsidR="00877E5B" w:rsidRDefault="00D05AC2">
      <w:pPr>
        <w:rPr>
          <w:sz w:val="28"/>
          <w:szCs w:val="28"/>
        </w:rPr>
      </w:pPr>
      <w:r>
        <w:rPr>
          <w:sz w:val="28"/>
          <w:szCs w:val="28"/>
        </w:rPr>
        <w:t xml:space="preserve">The current rate agreement for FSU is in effect between </w:t>
      </w:r>
      <w:r w:rsidRPr="00021420">
        <w:rPr>
          <w:b/>
          <w:sz w:val="28"/>
          <w:szCs w:val="28"/>
        </w:rPr>
        <w:t>7/1/20</w:t>
      </w:r>
      <w:r w:rsidR="00012507">
        <w:rPr>
          <w:b/>
          <w:sz w:val="28"/>
          <w:szCs w:val="28"/>
        </w:rPr>
        <w:t>21</w:t>
      </w:r>
      <w:r w:rsidRPr="00021420">
        <w:rPr>
          <w:b/>
          <w:sz w:val="28"/>
          <w:szCs w:val="28"/>
        </w:rPr>
        <w:t xml:space="preserve"> through 6/30/202</w:t>
      </w:r>
      <w:r w:rsidR="00012507">
        <w:rPr>
          <w:b/>
          <w:sz w:val="28"/>
          <w:szCs w:val="28"/>
        </w:rPr>
        <w:t>3</w:t>
      </w:r>
      <w:r>
        <w:rPr>
          <w:sz w:val="28"/>
          <w:szCs w:val="28"/>
        </w:rPr>
        <w:t xml:space="preserve"> and</w:t>
      </w:r>
      <w:r w:rsidR="00877E5B">
        <w:rPr>
          <w:sz w:val="28"/>
          <w:szCs w:val="28"/>
        </w:rPr>
        <w:t xml:space="preserve"> is located under the Quick Links, F&amp;A Agreement, below:</w:t>
      </w:r>
    </w:p>
    <w:p w14:paraId="79FAC62F" w14:textId="2438C610" w:rsidR="00AF0006" w:rsidRDefault="004A712B">
      <w:hyperlink r:id="rId8" w:history="1">
        <w:r w:rsidR="00877E5B" w:rsidRPr="001F4055">
          <w:rPr>
            <w:rStyle w:val="Hyperlink"/>
          </w:rPr>
          <w:t>https://www.research.fsu.edu/research-offices/sra/</w:t>
        </w:r>
      </w:hyperlink>
      <w:r w:rsidR="006B5F75">
        <w:t>.</w:t>
      </w:r>
      <w:r w:rsidR="00AF0006">
        <w:t xml:space="preserve">  </w:t>
      </w:r>
    </w:p>
    <w:p w14:paraId="27EE5556" w14:textId="77777777" w:rsidR="001E37EB" w:rsidRDefault="001E37EB">
      <w:pPr>
        <w:rPr>
          <w:sz w:val="28"/>
          <w:szCs w:val="28"/>
        </w:rPr>
      </w:pPr>
    </w:p>
    <w:p w14:paraId="08B3AFAF" w14:textId="1943B449" w:rsidR="0084087D" w:rsidRPr="00D6073C" w:rsidRDefault="001E37EB" w:rsidP="00D6073C">
      <w:pPr>
        <w:rPr>
          <w:b/>
          <w:sz w:val="28"/>
          <w:szCs w:val="28"/>
        </w:rPr>
      </w:pPr>
      <w:r w:rsidRPr="00392C61">
        <w:rPr>
          <w:b/>
          <w:sz w:val="28"/>
          <w:szCs w:val="28"/>
        </w:rPr>
        <w:t>FAQ’s</w:t>
      </w:r>
    </w:p>
    <w:p w14:paraId="706783F2" w14:textId="77777777" w:rsidR="00256307" w:rsidRDefault="00256307" w:rsidP="001E37EB">
      <w:pPr>
        <w:shd w:val="clear" w:color="auto" w:fill="FFFFFF"/>
        <w:spacing w:after="0" w:line="240" w:lineRule="auto"/>
        <w:rPr>
          <w:rFonts w:ascii="Calibri" w:eastAsia="Times New Roman" w:hAnsi="Calibri" w:cs="Arial"/>
          <w:sz w:val="28"/>
          <w:szCs w:val="28"/>
        </w:rPr>
      </w:pPr>
    </w:p>
    <w:p w14:paraId="4E3DBDAB" w14:textId="77777777" w:rsidR="00256307" w:rsidRDefault="00256307" w:rsidP="0084461B">
      <w:pPr>
        <w:pStyle w:val="ListParagraph"/>
        <w:numPr>
          <w:ilvl w:val="0"/>
          <w:numId w:val="2"/>
        </w:numPr>
        <w:shd w:val="clear" w:color="auto" w:fill="FFFFFF"/>
        <w:spacing w:after="0" w:line="240" w:lineRule="auto"/>
        <w:rPr>
          <w:rFonts w:ascii="Calibri" w:eastAsia="Times New Roman" w:hAnsi="Calibri" w:cs="Arial"/>
          <w:b/>
          <w:i/>
          <w:sz w:val="28"/>
          <w:szCs w:val="28"/>
        </w:rPr>
      </w:pPr>
      <w:r w:rsidRPr="00256307">
        <w:rPr>
          <w:rFonts w:ascii="Calibri" w:eastAsia="Times New Roman" w:hAnsi="Calibri" w:cs="Arial"/>
          <w:b/>
          <w:i/>
          <w:sz w:val="28"/>
          <w:szCs w:val="28"/>
        </w:rPr>
        <w:t>If the F&amp;A rate changes between the time of proposal and award or during the life of a project, which F&amp;A rate should be used?</w:t>
      </w:r>
    </w:p>
    <w:p w14:paraId="31A2328C" w14:textId="77777777" w:rsidR="0084461B" w:rsidRPr="0084461B" w:rsidRDefault="0084461B" w:rsidP="0084461B">
      <w:pPr>
        <w:pStyle w:val="ListParagraph"/>
        <w:shd w:val="clear" w:color="auto" w:fill="FFFFFF"/>
        <w:spacing w:after="0" w:line="240" w:lineRule="auto"/>
        <w:ind w:left="360"/>
        <w:rPr>
          <w:rFonts w:ascii="Calibri" w:eastAsia="Times New Roman" w:hAnsi="Calibri" w:cs="Arial"/>
          <w:b/>
          <w:i/>
          <w:sz w:val="28"/>
          <w:szCs w:val="28"/>
        </w:rPr>
      </w:pPr>
    </w:p>
    <w:p w14:paraId="3679EE24" w14:textId="489C4A10" w:rsidR="005D1FED" w:rsidRPr="00C22A52" w:rsidRDefault="005D1FED" w:rsidP="005D1FED">
      <w:pPr>
        <w:rPr>
          <w:rFonts w:ascii="Calibri" w:eastAsia="Times New Roman" w:hAnsi="Calibri" w:cs="Calibri"/>
          <w:sz w:val="28"/>
          <w:szCs w:val="28"/>
        </w:rPr>
      </w:pPr>
      <w:r w:rsidRPr="00697966">
        <w:rPr>
          <w:rFonts w:ascii="Calibri" w:hAnsi="Calibri" w:cs="Calibri"/>
          <w:color w:val="252525"/>
          <w:sz w:val="28"/>
          <w:szCs w:val="28"/>
          <w:shd w:val="clear" w:color="auto" w:fill="FFFFFF"/>
        </w:rPr>
        <w:t xml:space="preserve">The negotiated F&amp;A rate </w:t>
      </w:r>
      <w:r w:rsidR="00271A56" w:rsidRPr="00697966">
        <w:rPr>
          <w:rFonts w:ascii="Calibri" w:hAnsi="Calibri" w:cs="Calibri"/>
          <w:color w:val="252525"/>
          <w:sz w:val="28"/>
          <w:szCs w:val="28"/>
          <w:shd w:val="clear" w:color="auto" w:fill="FFFFFF"/>
        </w:rPr>
        <w:t xml:space="preserve">agreement </w:t>
      </w:r>
      <w:r w:rsidRPr="00697966">
        <w:rPr>
          <w:rFonts w:ascii="Calibri" w:hAnsi="Calibri" w:cs="Calibri"/>
          <w:color w:val="252525"/>
          <w:sz w:val="28"/>
          <w:szCs w:val="28"/>
          <w:shd w:val="clear" w:color="auto" w:fill="FFFFFF"/>
        </w:rPr>
        <w:t xml:space="preserve">in effect at </w:t>
      </w:r>
      <w:r w:rsidR="00972838">
        <w:rPr>
          <w:rFonts w:ascii="Calibri" w:hAnsi="Calibri" w:cs="Calibri"/>
          <w:color w:val="252525"/>
          <w:sz w:val="28"/>
          <w:szCs w:val="28"/>
          <w:shd w:val="clear" w:color="auto" w:fill="FFFFFF"/>
        </w:rPr>
        <w:t xml:space="preserve">the </w:t>
      </w:r>
      <w:r w:rsidR="00877E5B">
        <w:rPr>
          <w:rFonts w:ascii="Calibri" w:hAnsi="Calibri" w:cs="Calibri"/>
          <w:color w:val="252525"/>
          <w:sz w:val="28"/>
          <w:szCs w:val="28"/>
          <w:shd w:val="clear" w:color="auto" w:fill="FFFFFF"/>
        </w:rPr>
        <w:t>award date</w:t>
      </w:r>
      <w:r w:rsidRPr="00697966">
        <w:rPr>
          <w:rFonts w:ascii="Calibri" w:hAnsi="Calibri" w:cs="Calibri"/>
          <w:color w:val="252525"/>
          <w:sz w:val="28"/>
          <w:szCs w:val="28"/>
          <w:shd w:val="clear" w:color="auto" w:fill="FFFFFF"/>
        </w:rPr>
        <w:t xml:space="preserve"> will be used</w:t>
      </w:r>
      <w:r w:rsidR="00877E5B">
        <w:rPr>
          <w:rFonts w:ascii="Calibri" w:hAnsi="Calibri" w:cs="Calibri"/>
          <w:color w:val="252525"/>
          <w:sz w:val="28"/>
          <w:szCs w:val="28"/>
          <w:shd w:val="clear" w:color="auto" w:fill="FFFFFF"/>
        </w:rPr>
        <w:t>, not the rate in the proposal, throughout the life or competitive segment of the sponsored agreement.</w:t>
      </w:r>
      <w:r w:rsidRPr="00697966">
        <w:rPr>
          <w:rFonts w:ascii="Calibri" w:hAnsi="Calibri" w:cs="Calibri"/>
          <w:color w:val="252525"/>
          <w:sz w:val="28"/>
          <w:szCs w:val="28"/>
          <w:shd w:val="clear" w:color="auto" w:fill="FFFFFF"/>
        </w:rPr>
        <w:t xml:space="preserve">  </w:t>
      </w:r>
      <w:r w:rsidRPr="00697966">
        <w:rPr>
          <w:rFonts w:ascii="Calibri" w:eastAsia="Times New Roman" w:hAnsi="Calibri" w:cs="Calibri"/>
          <w:sz w:val="28"/>
          <w:szCs w:val="28"/>
        </w:rPr>
        <w:t>For this purpose, competing renewals are considered new awards and should use the rate agreement in effect at the time of the competing renewal submission.</w:t>
      </w:r>
      <w:r w:rsidRPr="00C22A52">
        <w:rPr>
          <w:rFonts w:ascii="Calibri" w:eastAsia="Times New Roman" w:hAnsi="Calibri" w:cs="Calibri"/>
          <w:sz w:val="28"/>
          <w:szCs w:val="28"/>
        </w:rPr>
        <w:t xml:space="preserve"> </w:t>
      </w:r>
    </w:p>
    <w:p w14:paraId="7EB1A747" w14:textId="77777777" w:rsidR="00E74117" w:rsidRDefault="00E74117" w:rsidP="00AD2D8A">
      <w:pPr>
        <w:rPr>
          <w:rFonts w:ascii="Calibri" w:eastAsia="Times New Roman" w:hAnsi="Calibri" w:cs="Calibri"/>
          <w:sz w:val="28"/>
          <w:szCs w:val="28"/>
        </w:rPr>
      </w:pPr>
    </w:p>
    <w:p w14:paraId="006B4496" w14:textId="77777777" w:rsidR="00256307" w:rsidRPr="00AD2D8A" w:rsidRDefault="00AD2D8A" w:rsidP="00AD2D8A">
      <w:pPr>
        <w:pStyle w:val="ListParagraph"/>
        <w:numPr>
          <w:ilvl w:val="0"/>
          <w:numId w:val="2"/>
        </w:numPr>
        <w:rPr>
          <w:rFonts w:ascii="Calibri" w:eastAsia="Times New Roman" w:hAnsi="Calibri" w:cs="Calibri"/>
          <w:b/>
          <w:i/>
          <w:sz w:val="28"/>
          <w:szCs w:val="28"/>
        </w:rPr>
      </w:pPr>
      <w:r w:rsidRPr="00AD2D8A">
        <w:rPr>
          <w:rFonts w:ascii="Calibri" w:eastAsia="Times New Roman" w:hAnsi="Calibri" w:cs="Calibri"/>
          <w:b/>
          <w:i/>
          <w:sz w:val="28"/>
          <w:szCs w:val="28"/>
        </w:rPr>
        <w:t xml:space="preserve">What </w:t>
      </w:r>
      <w:r w:rsidR="006400AF">
        <w:rPr>
          <w:rFonts w:ascii="Calibri" w:eastAsia="Times New Roman" w:hAnsi="Calibri" w:cs="Calibri"/>
          <w:b/>
          <w:i/>
          <w:sz w:val="28"/>
          <w:szCs w:val="28"/>
        </w:rPr>
        <w:t xml:space="preserve">F&amp;A </w:t>
      </w:r>
      <w:r w:rsidRPr="00AD2D8A">
        <w:rPr>
          <w:rFonts w:ascii="Calibri" w:eastAsia="Times New Roman" w:hAnsi="Calibri" w:cs="Calibri"/>
          <w:b/>
          <w:i/>
          <w:sz w:val="28"/>
          <w:szCs w:val="28"/>
        </w:rPr>
        <w:t>rate should be used for Competing renewals?</w:t>
      </w:r>
    </w:p>
    <w:p w14:paraId="2E32D049" w14:textId="77777777" w:rsidR="00AD2D8A" w:rsidRDefault="00AD2D8A" w:rsidP="00256307">
      <w:pPr>
        <w:spacing w:after="240" w:line="360" w:lineRule="atLeast"/>
        <w:textAlignment w:val="baseline"/>
        <w:rPr>
          <w:sz w:val="28"/>
          <w:szCs w:val="28"/>
        </w:rPr>
      </w:pPr>
      <w:r>
        <w:rPr>
          <w:sz w:val="28"/>
          <w:szCs w:val="28"/>
        </w:rPr>
        <w:t xml:space="preserve">Competing renewals are considered new awards and should use the </w:t>
      </w:r>
      <w:r w:rsidRPr="00697966">
        <w:rPr>
          <w:sz w:val="28"/>
          <w:szCs w:val="28"/>
        </w:rPr>
        <w:t xml:space="preserve">rate </w:t>
      </w:r>
      <w:r w:rsidR="0028229F" w:rsidRPr="00697966">
        <w:rPr>
          <w:sz w:val="28"/>
          <w:szCs w:val="28"/>
        </w:rPr>
        <w:t xml:space="preserve">agreement </w:t>
      </w:r>
      <w:r w:rsidRPr="00697966">
        <w:rPr>
          <w:sz w:val="28"/>
          <w:szCs w:val="28"/>
        </w:rPr>
        <w:t>in</w:t>
      </w:r>
      <w:r>
        <w:rPr>
          <w:sz w:val="28"/>
          <w:szCs w:val="28"/>
        </w:rPr>
        <w:t xml:space="preserve"> effect at the time of the competing renewal submission.</w:t>
      </w:r>
    </w:p>
    <w:p w14:paraId="6E6D5749" w14:textId="77777777" w:rsidR="001E37EB" w:rsidRPr="00256307" w:rsidRDefault="001E37EB" w:rsidP="00256307">
      <w:pPr>
        <w:shd w:val="clear" w:color="auto" w:fill="FFFFFF"/>
        <w:spacing w:after="0" w:line="240" w:lineRule="auto"/>
        <w:rPr>
          <w:rFonts w:ascii="Calibri" w:eastAsia="Times New Roman" w:hAnsi="Calibri" w:cs="Arial"/>
          <w:sz w:val="28"/>
          <w:szCs w:val="28"/>
        </w:rPr>
      </w:pPr>
    </w:p>
    <w:p w14:paraId="73BA7DE5" w14:textId="77777777" w:rsidR="00492C46" w:rsidRPr="00BB3BEB" w:rsidRDefault="00492C46" w:rsidP="00392C61">
      <w:pPr>
        <w:pStyle w:val="Heading3"/>
        <w:numPr>
          <w:ilvl w:val="0"/>
          <w:numId w:val="2"/>
        </w:numPr>
        <w:shd w:val="clear" w:color="auto" w:fill="FFFFFF"/>
        <w:spacing w:before="0" w:after="300" w:line="312" w:lineRule="atLeast"/>
        <w:rPr>
          <w:rFonts w:asciiTheme="minorHAnsi" w:eastAsia="Times New Roman" w:hAnsiTheme="minorHAnsi" w:cs="Arial"/>
          <w:b/>
          <w:bCs/>
          <w:i/>
          <w:color w:val="auto"/>
          <w:sz w:val="28"/>
          <w:szCs w:val="28"/>
        </w:rPr>
      </w:pPr>
      <w:r w:rsidRPr="00BB3BEB">
        <w:rPr>
          <w:rFonts w:asciiTheme="minorHAnsi" w:eastAsia="Times New Roman" w:hAnsiTheme="minorHAnsi" w:cs="Arial"/>
          <w:b/>
          <w:bCs/>
          <w:i/>
          <w:color w:val="auto"/>
          <w:sz w:val="28"/>
          <w:szCs w:val="28"/>
        </w:rPr>
        <w:t>My application was previously submitted at 54% F&amp;A rate before the notification of the new rates. Will this rate be honored even though the new rate agreement specifies lower rates effective 7/1/2021?</w:t>
      </w:r>
    </w:p>
    <w:p w14:paraId="547CB1DA" w14:textId="5B6B86AD" w:rsidR="00492C46" w:rsidRPr="002E299F" w:rsidRDefault="00492C46" w:rsidP="00492C46">
      <w:pPr>
        <w:shd w:val="clear" w:color="auto" w:fill="FFFFFF"/>
        <w:spacing w:after="0" w:line="240" w:lineRule="auto"/>
        <w:rPr>
          <w:rFonts w:eastAsia="Times New Roman" w:cs="Arial"/>
          <w:sz w:val="28"/>
          <w:szCs w:val="28"/>
        </w:rPr>
      </w:pPr>
      <w:r w:rsidRPr="00492C46">
        <w:rPr>
          <w:rFonts w:eastAsia="Times New Roman" w:cs="Arial"/>
          <w:sz w:val="28"/>
          <w:szCs w:val="28"/>
        </w:rPr>
        <w:t xml:space="preserve">Based on the Uniform Guidance, awards that were </w:t>
      </w:r>
      <w:r w:rsidR="00EC0AB0">
        <w:rPr>
          <w:rFonts w:eastAsia="Times New Roman" w:cs="Arial"/>
          <w:sz w:val="28"/>
          <w:szCs w:val="28"/>
        </w:rPr>
        <w:t xml:space="preserve">received </w:t>
      </w:r>
      <w:r w:rsidRPr="00492C46">
        <w:rPr>
          <w:rFonts w:eastAsia="Times New Roman" w:cs="Arial"/>
          <w:sz w:val="28"/>
          <w:szCs w:val="28"/>
        </w:rPr>
        <w:t>using the </w:t>
      </w:r>
      <w:r w:rsidRPr="00EC0AB0">
        <w:rPr>
          <w:rFonts w:eastAsia="Times New Roman" w:cs="Arial"/>
          <w:sz w:val="28"/>
          <w:szCs w:val="28"/>
        </w:rPr>
        <w:t>provisional rate</w:t>
      </w:r>
      <w:r w:rsidRPr="00492C46">
        <w:rPr>
          <w:rFonts w:eastAsia="Times New Roman" w:cs="Arial"/>
          <w:sz w:val="28"/>
          <w:szCs w:val="28"/>
        </w:rPr>
        <w:t> </w:t>
      </w:r>
      <w:r w:rsidRPr="00392C61">
        <w:rPr>
          <w:rFonts w:eastAsia="Times New Roman" w:cs="Arial"/>
          <w:sz w:val="28"/>
          <w:szCs w:val="28"/>
        </w:rPr>
        <w:t>of 54</w:t>
      </w:r>
      <w:r w:rsidRPr="00492C46">
        <w:rPr>
          <w:rFonts w:eastAsia="Times New Roman" w:cs="Arial"/>
          <w:sz w:val="28"/>
          <w:szCs w:val="28"/>
        </w:rPr>
        <w:t>% during the period of </w:t>
      </w:r>
      <w:r w:rsidR="00103A7D" w:rsidRPr="002E299F">
        <w:rPr>
          <w:rFonts w:eastAsia="Times New Roman" w:cs="Arial"/>
          <w:sz w:val="28"/>
          <w:szCs w:val="28"/>
        </w:rPr>
        <w:t>7/1/2021</w:t>
      </w:r>
      <w:r w:rsidRPr="002E299F">
        <w:rPr>
          <w:rFonts w:eastAsia="Times New Roman" w:cs="Arial"/>
          <w:sz w:val="28"/>
          <w:szCs w:val="28"/>
        </w:rPr>
        <w:t xml:space="preserve"> to the </w:t>
      </w:r>
      <w:r w:rsidR="00EC0AB0" w:rsidRPr="002E299F">
        <w:rPr>
          <w:rFonts w:eastAsia="Times New Roman" w:cs="Arial"/>
          <w:sz w:val="28"/>
          <w:szCs w:val="28"/>
        </w:rPr>
        <w:t>effective date</w:t>
      </w:r>
      <w:r w:rsidRPr="002E299F">
        <w:rPr>
          <w:rFonts w:eastAsia="Times New Roman" w:cs="Arial"/>
          <w:sz w:val="28"/>
          <w:szCs w:val="28"/>
        </w:rPr>
        <w:t xml:space="preserve"> of the </w:t>
      </w:r>
      <w:r w:rsidR="00EC0AB0" w:rsidRPr="002E299F">
        <w:rPr>
          <w:rFonts w:eastAsia="Times New Roman" w:cs="Arial"/>
          <w:sz w:val="28"/>
          <w:szCs w:val="28"/>
        </w:rPr>
        <w:t xml:space="preserve">new rate </w:t>
      </w:r>
      <w:r w:rsidR="00532076" w:rsidRPr="002E299F">
        <w:rPr>
          <w:rFonts w:eastAsia="Times New Roman" w:cs="Arial"/>
          <w:sz w:val="28"/>
          <w:szCs w:val="28"/>
        </w:rPr>
        <w:t>agreement</w:t>
      </w:r>
      <w:r w:rsidRPr="002E299F">
        <w:rPr>
          <w:rFonts w:eastAsia="Times New Roman" w:cs="Arial"/>
          <w:sz w:val="28"/>
          <w:szCs w:val="28"/>
        </w:rPr>
        <w:t xml:space="preserve"> must be adjusted to the </w:t>
      </w:r>
      <w:r w:rsidR="002E299F" w:rsidRPr="002E299F">
        <w:rPr>
          <w:rFonts w:eastAsia="Times New Roman" w:cs="Arial"/>
          <w:sz w:val="28"/>
          <w:szCs w:val="28"/>
        </w:rPr>
        <w:t xml:space="preserve">new </w:t>
      </w:r>
      <w:r w:rsidRPr="002E299F">
        <w:rPr>
          <w:rFonts w:eastAsia="Times New Roman" w:cs="Arial"/>
          <w:sz w:val="28"/>
          <w:szCs w:val="28"/>
        </w:rPr>
        <w:t>negotiated rates for the competitive segment</w:t>
      </w:r>
      <w:r w:rsidR="002E299F" w:rsidRPr="002E299F">
        <w:rPr>
          <w:rFonts w:eastAsia="Times New Roman" w:cs="Arial"/>
          <w:sz w:val="28"/>
          <w:szCs w:val="28"/>
        </w:rPr>
        <w:t>, even it the rate is lower.</w:t>
      </w:r>
    </w:p>
    <w:p w14:paraId="4EBFD52E" w14:textId="77777777" w:rsidR="00492C46" w:rsidRPr="00492C46" w:rsidRDefault="00492C46" w:rsidP="00492C46">
      <w:pPr>
        <w:shd w:val="clear" w:color="auto" w:fill="FFFFFF"/>
        <w:spacing w:after="0" w:line="240" w:lineRule="auto"/>
        <w:ind w:left="720"/>
        <w:rPr>
          <w:rFonts w:eastAsia="Times New Roman" w:cs="Arial"/>
          <w:sz w:val="28"/>
          <w:szCs w:val="28"/>
        </w:rPr>
      </w:pPr>
      <w:r w:rsidRPr="00492C46">
        <w:rPr>
          <w:rFonts w:eastAsia="Times New Roman" w:cs="Arial"/>
          <w:sz w:val="28"/>
          <w:szCs w:val="28"/>
        </w:rPr>
        <w:t> </w:t>
      </w:r>
    </w:p>
    <w:p w14:paraId="30622F83" w14:textId="77777777" w:rsidR="00492C46" w:rsidRPr="00492C46" w:rsidRDefault="00492C46" w:rsidP="00492C46">
      <w:pPr>
        <w:numPr>
          <w:ilvl w:val="0"/>
          <w:numId w:val="1"/>
        </w:numPr>
        <w:shd w:val="clear" w:color="auto" w:fill="FFFFFF"/>
        <w:spacing w:after="0" w:line="240" w:lineRule="auto"/>
        <w:ind w:left="240"/>
        <w:rPr>
          <w:rFonts w:eastAsia="Times New Roman" w:cs="Arial"/>
          <w:sz w:val="28"/>
          <w:szCs w:val="28"/>
        </w:rPr>
      </w:pPr>
      <w:r w:rsidRPr="00492C46">
        <w:rPr>
          <w:rFonts w:eastAsia="Times New Roman" w:cs="Arial"/>
          <w:sz w:val="28"/>
          <w:szCs w:val="28"/>
        </w:rPr>
        <w:t>Grants awarded </w:t>
      </w:r>
      <w:r w:rsidR="00103A7D" w:rsidRPr="00E158C0">
        <w:rPr>
          <w:rFonts w:eastAsia="Times New Roman" w:cs="Arial"/>
          <w:i/>
          <w:iCs/>
          <w:sz w:val="28"/>
          <w:szCs w:val="28"/>
        </w:rPr>
        <w:t>before 7/1/2021</w:t>
      </w:r>
      <w:r w:rsidRPr="00E158C0">
        <w:rPr>
          <w:rFonts w:eastAsia="Times New Roman" w:cs="Arial"/>
          <w:i/>
          <w:iCs/>
          <w:sz w:val="28"/>
          <w:szCs w:val="28"/>
        </w:rPr>
        <w:t>,</w:t>
      </w:r>
      <w:r w:rsidRPr="00392C61">
        <w:rPr>
          <w:rFonts w:eastAsia="Times New Roman" w:cs="Arial"/>
          <w:b/>
          <w:bCs/>
          <w:i/>
          <w:iCs/>
          <w:sz w:val="28"/>
          <w:szCs w:val="28"/>
        </w:rPr>
        <w:t> </w:t>
      </w:r>
      <w:r w:rsidRPr="00492C46">
        <w:rPr>
          <w:rFonts w:eastAsia="Times New Roman" w:cs="Arial"/>
          <w:sz w:val="28"/>
          <w:szCs w:val="28"/>
        </w:rPr>
        <w:t>remain as a</w:t>
      </w:r>
      <w:r w:rsidR="00103A7D" w:rsidRPr="00392C61">
        <w:rPr>
          <w:rFonts w:eastAsia="Times New Roman" w:cs="Arial"/>
          <w:sz w:val="28"/>
          <w:szCs w:val="28"/>
        </w:rPr>
        <w:t>warded and will utilize the 54</w:t>
      </w:r>
      <w:r w:rsidRPr="00492C46">
        <w:rPr>
          <w:rFonts w:eastAsia="Times New Roman" w:cs="Arial"/>
          <w:sz w:val="28"/>
          <w:szCs w:val="28"/>
        </w:rPr>
        <w:t>% for the remainder of the competitive segment.</w:t>
      </w:r>
    </w:p>
    <w:p w14:paraId="41C57A59" w14:textId="070C059D" w:rsidR="003054BF" w:rsidRPr="00E158C0" w:rsidRDefault="00492C46" w:rsidP="003054BF">
      <w:pPr>
        <w:numPr>
          <w:ilvl w:val="0"/>
          <w:numId w:val="1"/>
        </w:numPr>
        <w:shd w:val="clear" w:color="auto" w:fill="FFFFFF"/>
        <w:spacing w:after="0" w:line="240" w:lineRule="auto"/>
        <w:ind w:left="240"/>
        <w:rPr>
          <w:rFonts w:eastAsia="Times New Roman" w:cs="Arial"/>
          <w:sz w:val="28"/>
          <w:szCs w:val="28"/>
        </w:rPr>
      </w:pPr>
      <w:r w:rsidRPr="00492C46">
        <w:rPr>
          <w:rFonts w:eastAsia="Times New Roman" w:cs="Arial"/>
          <w:sz w:val="28"/>
          <w:szCs w:val="28"/>
        </w:rPr>
        <w:t xml:space="preserve">Grants awarded </w:t>
      </w:r>
      <w:r w:rsidR="007C270A" w:rsidRPr="00E158C0">
        <w:rPr>
          <w:rFonts w:eastAsia="Times New Roman" w:cs="Arial"/>
          <w:i/>
          <w:iCs/>
          <w:sz w:val="28"/>
          <w:szCs w:val="28"/>
        </w:rPr>
        <w:t>after 7/1/2021</w:t>
      </w:r>
      <w:r w:rsidR="007C270A">
        <w:rPr>
          <w:rFonts w:eastAsia="Times New Roman" w:cs="Arial"/>
          <w:sz w:val="28"/>
          <w:szCs w:val="28"/>
        </w:rPr>
        <w:t xml:space="preserve">, </w:t>
      </w:r>
      <w:r w:rsidR="00E158C0">
        <w:rPr>
          <w:rFonts w:eastAsia="Times New Roman" w:cs="Arial"/>
          <w:sz w:val="28"/>
          <w:szCs w:val="28"/>
        </w:rPr>
        <w:t>while the provisional rate</w:t>
      </w:r>
      <w:r w:rsidRPr="00392C61">
        <w:rPr>
          <w:rFonts w:eastAsia="Times New Roman" w:cs="Arial"/>
          <w:b/>
          <w:bCs/>
          <w:sz w:val="28"/>
          <w:szCs w:val="28"/>
        </w:rPr>
        <w:t> </w:t>
      </w:r>
      <w:r w:rsidRPr="00492C46">
        <w:rPr>
          <w:rFonts w:eastAsia="Times New Roman" w:cs="Arial"/>
          <w:sz w:val="28"/>
          <w:szCs w:val="28"/>
        </w:rPr>
        <w:t xml:space="preserve">was in place </w:t>
      </w:r>
      <w:r w:rsidRPr="00E158C0">
        <w:rPr>
          <w:rFonts w:eastAsia="Times New Roman" w:cs="Arial"/>
          <w:sz w:val="28"/>
          <w:szCs w:val="28"/>
        </w:rPr>
        <w:t xml:space="preserve">will be adjusted to the </w:t>
      </w:r>
      <w:r w:rsidR="00E158C0" w:rsidRPr="00E158C0">
        <w:rPr>
          <w:rFonts w:eastAsia="Times New Roman" w:cs="Arial"/>
          <w:sz w:val="28"/>
          <w:szCs w:val="28"/>
        </w:rPr>
        <w:t xml:space="preserve">new </w:t>
      </w:r>
      <w:r w:rsidRPr="00E158C0">
        <w:rPr>
          <w:rFonts w:eastAsia="Times New Roman" w:cs="Arial"/>
          <w:sz w:val="28"/>
          <w:szCs w:val="28"/>
        </w:rPr>
        <w:t>negotiated rates.  </w:t>
      </w:r>
    </w:p>
    <w:p w14:paraId="4FF3864B" w14:textId="77777777" w:rsidR="003054BF" w:rsidRPr="00392C61" w:rsidRDefault="003054BF" w:rsidP="003054BF">
      <w:pPr>
        <w:shd w:val="clear" w:color="auto" w:fill="FFFFFF"/>
        <w:spacing w:after="0" w:line="240" w:lineRule="auto"/>
        <w:ind w:left="240"/>
        <w:rPr>
          <w:rFonts w:eastAsia="Times New Roman" w:cs="Arial"/>
          <w:sz w:val="28"/>
          <w:szCs w:val="28"/>
        </w:rPr>
      </w:pPr>
    </w:p>
    <w:p w14:paraId="4C73BC8B" w14:textId="77777777" w:rsidR="00492C46" w:rsidRPr="00492C46" w:rsidRDefault="002B1D7A" w:rsidP="00D57878">
      <w:pPr>
        <w:shd w:val="clear" w:color="auto" w:fill="FFFFFF"/>
        <w:spacing w:after="0" w:line="240" w:lineRule="auto"/>
        <w:rPr>
          <w:rFonts w:eastAsia="Times New Roman" w:cs="Arial"/>
          <w:sz w:val="28"/>
          <w:szCs w:val="28"/>
        </w:rPr>
      </w:pPr>
      <w:r w:rsidRPr="002B1D7A">
        <w:rPr>
          <w:rFonts w:eastAsia="Times New Roman" w:cs="Arial"/>
          <w:b/>
          <w:sz w:val="28"/>
          <w:szCs w:val="28"/>
        </w:rPr>
        <w:t>Per the</w:t>
      </w:r>
      <w:r w:rsidR="00492C46" w:rsidRPr="00492C46">
        <w:rPr>
          <w:rFonts w:eastAsia="Times New Roman" w:cs="Arial"/>
          <w:sz w:val="28"/>
          <w:szCs w:val="28"/>
        </w:rPr>
        <w:t> </w:t>
      </w:r>
      <w:r w:rsidR="00492C46" w:rsidRPr="00392C61">
        <w:rPr>
          <w:rFonts w:eastAsia="Times New Roman" w:cs="Arial"/>
          <w:b/>
          <w:bCs/>
          <w:sz w:val="28"/>
          <w:szCs w:val="28"/>
        </w:rPr>
        <w:t>Uniform Guidance-Appendix III to Part 200—Indirect (F&amp;A) Costs Identification and Assignment, and Rate Determination for Institutions of Higher Education (IHEs)</w:t>
      </w:r>
      <w:r w:rsidR="00492C46" w:rsidRPr="00492C46">
        <w:rPr>
          <w:rFonts w:eastAsia="Times New Roman" w:cs="Arial"/>
          <w:sz w:val="28"/>
          <w:szCs w:val="28"/>
        </w:rPr>
        <w:t>:</w:t>
      </w:r>
    </w:p>
    <w:p w14:paraId="0F14FD69" w14:textId="77777777" w:rsidR="00492C46" w:rsidRPr="00492C46" w:rsidRDefault="00492C46" w:rsidP="00492C46">
      <w:pPr>
        <w:shd w:val="clear" w:color="auto" w:fill="FFFFFF"/>
        <w:spacing w:line="240" w:lineRule="auto"/>
        <w:rPr>
          <w:rFonts w:eastAsia="Times New Roman" w:cs="Arial"/>
          <w:sz w:val="28"/>
          <w:szCs w:val="28"/>
        </w:rPr>
      </w:pPr>
      <w:r w:rsidRPr="00392C61">
        <w:rPr>
          <w:rFonts w:eastAsia="Times New Roman" w:cs="Arial"/>
          <w:b/>
          <w:bCs/>
          <w:sz w:val="28"/>
          <w:szCs w:val="28"/>
        </w:rPr>
        <w:t>C. DETERMINATION AND APPLICATION OF INDIRECT (F&amp;A) COST RATE OR RATES</w:t>
      </w:r>
    </w:p>
    <w:p w14:paraId="334A619D" w14:textId="77777777" w:rsidR="00492C46" w:rsidRPr="00492C46" w:rsidRDefault="00492C46" w:rsidP="00492C46">
      <w:pPr>
        <w:shd w:val="clear" w:color="auto" w:fill="FFFFFF"/>
        <w:spacing w:line="240" w:lineRule="auto"/>
        <w:rPr>
          <w:rFonts w:eastAsia="Times New Roman" w:cs="Arial"/>
          <w:sz w:val="28"/>
          <w:szCs w:val="28"/>
        </w:rPr>
      </w:pPr>
      <w:r w:rsidRPr="00392C61">
        <w:rPr>
          <w:rFonts w:eastAsia="Times New Roman" w:cs="Arial"/>
          <w:b/>
          <w:bCs/>
          <w:sz w:val="28"/>
          <w:szCs w:val="28"/>
        </w:rPr>
        <w:t>7. Fixed Rates for the Life of the Sponsored Agreement</w:t>
      </w:r>
    </w:p>
    <w:p w14:paraId="478F8DEA" w14:textId="77777777" w:rsidR="00492C46" w:rsidRPr="00492C46" w:rsidRDefault="00492C46" w:rsidP="00492C46">
      <w:pPr>
        <w:shd w:val="clear" w:color="auto" w:fill="FFFFFF"/>
        <w:spacing w:line="240" w:lineRule="auto"/>
        <w:rPr>
          <w:rFonts w:eastAsia="Times New Roman" w:cs="Arial"/>
          <w:sz w:val="28"/>
          <w:szCs w:val="28"/>
        </w:rPr>
      </w:pPr>
      <w:r w:rsidRPr="00492C46">
        <w:rPr>
          <w:rFonts w:eastAsia="Times New Roman" w:cs="Arial"/>
          <w:sz w:val="28"/>
          <w:szCs w:val="28"/>
        </w:rPr>
        <w:lastRenderedPageBreak/>
        <w:t>Federal agencies must use the negotiated rates except as provided in paragraph (e) of §200.414 Indirect (F&amp;A) costs, must paragraph (b)(1) for indirect (F&amp;A) costs </w:t>
      </w:r>
      <w:r w:rsidRPr="00492C46">
        <w:rPr>
          <w:rFonts w:eastAsia="Times New Roman" w:cs="Arial"/>
          <w:sz w:val="28"/>
          <w:szCs w:val="28"/>
          <w:u w:val="single"/>
        </w:rPr>
        <w:t xml:space="preserve">in effect at the time of the initial award throughout the life of the Federal award. Award levels for Federal awards may not be adjusted in future years </w:t>
      </w:r>
      <w:proofErr w:type="gramStart"/>
      <w:r w:rsidRPr="00492C46">
        <w:rPr>
          <w:rFonts w:eastAsia="Times New Roman" w:cs="Arial"/>
          <w:sz w:val="28"/>
          <w:szCs w:val="28"/>
          <w:u w:val="single"/>
        </w:rPr>
        <w:t>as a result of</w:t>
      </w:r>
      <w:proofErr w:type="gramEnd"/>
      <w:r w:rsidRPr="00492C46">
        <w:rPr>
          <w:rFonts w:eastAsia="Times New Roman" w:cs="Arial"/>
          <w:sz w:val="28"/>
          <w:szCs w:val="28"/>
          <w:u w:val="single"/>
        </w:rPr>
        <w:t xml:space="preserve"> changes in negotiated rates.  “Negotiated rates” per the rate agreement include final, fixed, and predetermined rates and</w:t>
      </w:r>
      <w:r w:rsidRPr="00492C46">
        <w:rPr>
          <w:rFonts w:eastAsia="Times New Roman" w:cs="Arial"/>
          <w:sz w:val="28"/>
          <w:szCs w:val="28"/>
        </w:rPr>
        <w:t> </w:t>
      </w:r>
      <w:r w:rsidRPr="00392C61">
        <w:rPr>
          <w:rFonts w:eastAsia="Times New Roman" w:cs="Arial"/>
          <w:b/>
          <w:bCs/>
          <w:sz w:val="28"/>
          <w:szCs w:val="28"/>
        </w:rPr>
        <w:t>exclude provisional rates</w:t>
      </w:r>
      <w:r w:rsidRPr="00492C46">
        <w:rPr>
          <w:rFonts w:eastAsia="Times New Roman" w:cs="Arial"/>
          <w:sz w:val="28"/>
          <w:szCs w:val="28"/>
        </w:rPr>
        <w:t>. “Life” for the purpose of this subsection means each competitive segment of a project. A competitive segment is a period of years approved by the Federal awarding agency at the time of the Federal award. If negotiated rate agreements do not extend through the life of the Federal award at the time of the initial award, then the negotiated rate for the last year of the Federal award must be extended through the end of the life of the Federal award.</w:t>
      </w:r>
    </w:p>
    <w:p w14:paraId="69442797" w14:textId="77777777" w:rsidR="00492C46" w:rsidRDefault="00492C46" w:rsidP="00492C46">
      <w:pPr>
        <w:shd w:val="clear" w:color="auto" w:fill="FFFFFF"/>
        <w:spacing w:line="240" w:lineRule="auto"/>
        <w:rPr>
          <w:rFonts w:eastAsia="Times New Roman" w:cs="Arial"/>
          <w:b/>
          <w:bCs/>
          <w:sz w:val="28"/>
          <w:szCs w:val="28"/>
          <w:u w:val="single"/>
        </w:rPr>
      </w:pPr>
      <w:r w:rsidRPr="00492C46">
        <w:rPr>
          <w:rFonts w:eastAsia="Times New Roman" w:cs="Arial"/>
          <w:sz w:val="28"/>
          <w:szCs w:val="28"/>
        </w:rPr>
        <w:t>b. Except as provided in §200.414 Indirect (F&amp;A) costs, when an educational institution does not have a negotiated rate with the Federal government at the time of an award (because the educational institution is a new recipient or the parties cannot reach agreement on a rate</w:t>
      </w:r>
      <w:r w:rsidRPr="00392C61">
        <w:rPr>
          <w:rFonts w:eastAsia="Times New Roman" w:cs="Arial"/>
          <w:b/>
          <w:bCs/>
          <w:sz w:val="28"/>
          <w:szCs w:val="28"/>
          <w:u w:val="single"/>
        </w:rPr>
        <w:t>), the provisional rate used at the time of the award must be adjusted once a rate is negotiated and approved by the cognizant agency for indirect costs.</w:t>
      </w:r>
    </w:p>
    <w:p w14:paraId="76AFC709" w14:textId="77777777" w:rsidR="00392C61" w:rsidRPr="00392C61" w:rsidRDefault="00392C61" w:rsidP="00492C46">
      <w:pPr>
        <w:shd w:val="clear" w:color="auto" w:fill="FFFFFF"/>
        <w:spacing w:line="240" w:lineRule="auto"/>
        <w:rPr>
          <w:rFonts w:eastAsia="Times New Roman" w:cs="Arial"/>
          <w:b/>
          <w:bCs/>
          <w:sz w:val="28"/>
          <w:szCs w:val="28"/>
          <w:u w:val="single"/>
        </w:rPr>
      </w:pPr>
    </w:p>
    <w:p w14:paraId="507395C9" w14:textId="77777777" w:rsidR="00392C61" w:rsidRPr="00BB3BEB" w:rsidRDefault="00392C61" w:rsidP="00392C61">
      <w:pPr>
        <w:pStyle w:val="Heading3"/>
        <w:numPr>
          <w:ilvl w:val="0"/>
          <w:numId w:val="2"/>
        </w:numPr>
        <w:shd w:val="clear" w:color="auto" w:fill="FFFFFF"/>
        <w:spacing w:before="0" w:after="300" w:line="312" w:lineRule="atLeast"/>
        <w:rPr>
          <w:rFonts w:ascii="Calibri" w:eastAsia="Times New Roman" w:hAnsi="Calibri" w:cs="Calibri"/>
          <w:b/>
          <w:bCs/>
          <w:i/>
          <w:color w:val="auto"/>
          <w:sz w:val="28"/>
          <w:szCs w:val="28"/>
        </w:rPr>
      </w:pPr>
      <w:r w:rsidRPr="00BB3BEB">
        <w:rPr>
          <w:rFonts w:ascii="Calibri" w:eastAsia="Times New Roman" w:hAnsi="Calibri" w:cs="Calibri"/>
          <w:b/>
          <w:bCs/>
          <w:i/>
          <w:color w:val="auto"/>
          <w:sz w:val="28"/>
          <w:szCs w:val="28"/>
        </w:rPr>
        <w:t>How will the F&amp;A rate be applied to existing federal multiyear contracts?</w:t>
      </w:r>
    </w:p>
    <w:p w14:paraId="066ED22F" w14:textId="15C09C86" w:rsidR="00392C61" w:rsidRPr="00FA33D6" w:rsidRDefault="00392C61" w:rsidP="00492C46">
      <w:pPr>
        <w:shd w:val="clear" w:color="auto" w:fill="FFFFFF"/>
        <w:spacing w:line="240" w:lineRule="auto"/>
        <w:rPr>
          <w:rFonts w:ascii="Calibri" w:eastAsia="Times New Roman" w:hAnsi="Calibri" w:cs="Calibri"/>
          <w:sz w:val="28"/>
          <w:szCs w:val="28"/>
        </w:rPr>
      </w:pPr>
      <w:r w:rsidRPr="00392C61">
        <w:rPr>
          <w:rFonts w:ascii="Calibri" w:eastAsia="Times New Roman" w:hAnsi="Calibri" w:cs="Calibri"/>
          <w:sz w:val="28"/>
          <w:szCs w:val="28"/>
        </w:rPr>
        <w:t xml:space="preserve">Federal contracts will continue with the current rate until the end of the period of performance as specified in the agreement.  Therefore, if the contract defines a specific F&amp;A rate that is locked into the </w:t>
      </w:r>
      <w:r w:rsidR="00337E55" w:rsidRPr="00392C61">
        <w:rPr>
          <w:rFonts w:ascii="Calibri" w:eastAsia="Times New Roman" w:hAnsi="Calibri" w:cs="Calibri"/>
          <w:sz w:val="28"/>
          <w:szCs w:val="28"/>
        </w:rPr>
        <w:t>agreement that</w:t>
      </w:r>
      <w:r w:rsidRPr="00392C61">
        <w:rPr>
          <w:rFonts w:ascii="Calibri" w:eastAsia="Times New Roman" w:hAnsi="Calibri" w:cs="Calibri"/>
          <w:sz w:val="28"/>
          <w:szCs w:val="28"/>
        </w:rPr>
        <w:t xml:space="preserve"> will be the rate which is utilized.</w:t>
      </w:r>
    </w:p>
    <w:p w14:paraId="6481FC43" w14:textId="77777777" w:rsidR="00B92318" w:rsidRPr="00B92318" w:rsidRDefault="00B92318" w:rsidP="00B92318">
      <w:pPr>
        <w:pStyle w:val="ListParagraph"/>
        <w:numPr>
          <w:ilvl w:val="0"/>
          <w:numId w:val="2"/>
        </w:numPr>
        <w:shd w:val="clear" w:color="auto" w:fill="FFFFFF"/>
        <w:spacing w:after="300" w:line="312" w:lineRule="atLeast"/>
        <w:outlineLvl w:val="2"/>
        <w:rPr>
          <w:rFonts w:ascii="Calibri" w:eastAsia="Times New Roman" w:hAnsi="Calibri" w:cs="Calibri"/>
          <w:b/>
          <w:bCs/>
          <w:i/>
          <w:sz w:val="28"/>
          <w:szCs w:val="28"/>
        </w:rPr>
      </w:pPr>
      <w:r w:rsidRPr="00B92318">
        <w:rPr>
          <w:rFonts w:ascii="Calibri" w:eastAsia="Times New Roman" w:hAnsi="Calibri" w:cs="Calibri"/>
          <w:b/>
          <w:bCs/>
          <w:i/>
          <w:sz w:val="28"/>
          <w:szCs w:val="28"/>
        </w:rPr>
        <w:t>How will the F&amp;A rate be applied to existing non-federal grants?</w:t>
      </w:r>
    </w:p>
    <w:p w14:paraId="3D548683" w14:textId="1C285FD9" w:rsidR="00492C46" w:rsidRDefault="00B92318" w:rsidP="00FA33D6">
      <w:pPr>
        <w:shd w:val="clear" w:color="auto" w:fill="FFFFFF"/>
        <w:spacing w:after="0" w:line="240" w:lineRule="auto"/>
        <w:rPr>
          <w:rFonts w:ascii="Calibri" w:eastAsia="Times New Roman" w:hAnsi="Calibri" w:cs="Calibri"/>
          <w:sz w:val="28"/>
          <w:szCs w:val="28"/>
        </w:rPr>
      </w:pPr>
      <w:r w:rsidRPr="00B92318">
        <w:rPr>
          <w:rFonts w:ascii="Calibri" w:eastAsia="Times New Roman" w:hAnsi="Calibri" w:cs="Calibri"/>
          <w:sz w:val="28"/>
          <w:szCs w:val="28"/>
        </w:rPr>
        <w:t>The rate approved by the sponsor at the time of the award will continue for the remainder of the award period.</w:t>
      </w:r>
    </w:p>
    <w:p w14:paraId="53F1CB91" w14:textId="7E1B5B4E" w:rsidR="00F4334F" w:rsidRDefault="00F4334F" w:rsidP="00FA33D6">
      <w:pPr>
        <w:shd w:val="clear" w:color="auto" w:fill="FFFFFF"/>
        <w:spacing w:after="0" w:line="240" w:lineRule="auto"/>
        <w:rPr>
          <w:rFonts w:ascii="Calibri" w:eastAsia="Times New Roman" w:hAnsi="Calibri" w:cs="Calibri"/>
          <w:sz w:val="28"/>
          <w:szCs w:val="28"/>
        </w:rPr>
      </w:pPr>
    </w:p>
    <w:p w14:paraId="7A8AB32C" w14:textId="1259C21D" w:rsidR="00F4334F" w:rsidRDefault="000C0775" w:rsidP="00F4334F">
      <w:pPr>
        <w:pStyle w:val="ListParagraph"/>
        <w:numPr>
          <w:ilvl w:val="0"/>
          <w:numId w:val="2"/>
        </w:numPr>
        <w:shd w:val="clear" w:color="auto" w:fill="FFFFFF"/>
        <w:spacing w:after="0" w:line="240" w:lineRule="auto"/>
        <w:rPr>
          <w:rFonts w:ascii="Calibri" w:eastAsia="Times New Roman" w:hAnsi="Calibri" w:cs="Calibri"/>
          <w:b/>
          <w:bCs/>
          <w:i/>
          <w:iCs/>
          <w:sz w:val="28"/>
          <w:szCs w:val="28"/>
        </w:rPr>
      </w:pPr>
      <w:r w:rsidRPr="000C0775">
        <w:rPr>
          <w:rFonts w:ascii="Calibri" w:eastAsia="Times New Roman" w:hAnsi="Calibri" w:cs="Calibri"/>
          <w:b/>
          <w:bCs/>
          <w:i/>
          <w:iCs/>
          <w:sz w:val="28"/>
          <w:szCs w:val="28"/>
        </w:rPr>
        <w:t>What F&amp;A rate should be used to prepare the budget for a supplemental proposal?</w:t>
      </w:r>
    </w:p>
    <w:p w14:paraId="18788171" w14:textId="11AB53B7" w:rsidR="000C0775" w:rsidRDefault="000C0775" w:rsidP="000C0775">
      <w:pPr>
        <w:shd w:val="clear" w:color="auto" w:fill="FFFFFF"/>
        <w:spacing w:after="0" w:line="240" w:lineRule="auto"/>
        <w:rPr>
          <w:rFonts w:ascii="Calibri" w:eastAsia="Times New Roman" w:hAnsi="Calibri" w:cs="Calibri"/>
          <w:sz w:val="28"/>
          <w:szCs w:val="28"/>
        </w:rPr>
      </w:pPr>
    </w:p>
    <w:p w14:paraId="74B76094" w14:textId="5BCF7AEB" w:rsidR="00D231C2" w:rsidRDefault="00D231C2" w:rsidP="000C0775">
      <w:pPr>
        <w:shd w:val="clear" w:color="auto" w:fill="FFFFFF"/>
        <w:spacing w:after="0" w:line="240" w:lineRule="auto"/>
        <w:rPr>
          <w:rFonts w:ascii="Calibri" w:eastAsia="Times New Roman" w:hAnsi="Calibri" w:cs="Calibri"/>
          <w:sz w:val="28"/>
          <w:szCs w:val="28"/>
        </w:rPr>
      </w:pPr>
      <w:r>
        <w:rPr>
          <w:rFonts w:ascii="Calibri" w:eastAsia="Times New Roman" w:hAnsi="Calibri" w:cs="Calibri"/>
          <w:sz w:val="28"/>
          <w:szCs w:val="28"/>
        </w:rPr>
        <w:t xml:space="preserve">Supplemental funding will be considered new </w:t>
      </w:r>
      <w:r w:rsidR="00F44ED1">
        <w:rPr>
          <w:rFonts w:ascii="Calibri" w:eastAsia="Times New Roman" w:hAnsi="Calibri" w:cs="Calibri"/>
          <w:sz w:val="28"/>
          <w:szCs w:val="28"/>
        </w:rPr>
        <w:t>funding unless</w:t>
      </w:r>
      <w:r>
        <w:rPr>
          <w:rFonts w:ascii="Calibri" w:eastAsia="Times New Roman" w:hAnsi="Calibri" w:cs="Calibri"/>
          <w:sz w:val="28"/>
          <w:szCs w:val="28"/>
        </w:rPr>
        <w:t xml:space="preserve"> sponsor </w:t>
      </w:r>
      <w:r w:rsidR="00ED07C6">
        <w:rPr>
          <w:rFonts w:ascii="Calibri" w:eastAsia="Times New Roman" w:hAnsi="Calibri" w:cs="Calibri"/>
          <w:sz w:val="28"/>
          <w:szCs w:val="28"/>
        </w:rPr>
        <w:t>policies state otherwise. Any application for new uncommitted funding, such as a supplement, should incorporate the new rates.</w:t>
      </w:r>
    </w:p>
    <w:p w14:paraId="41AB6D07" w14:textId="77777777" w:rsidR="00620538" w:rsidRDefault="00620538" w:rsidP="000C0775">
      <w:pPr>
        <w:shd w:val="clear" w:color="auto" w:fill="FFFFFF"/>
        <w:spacing w:after="0" w:line="240" w:lineRule="auto"/>
        <w:rPr>
          <w:rFonts w:ascii="Calibri" w:eastAsia="Times New Roman" w:hAnsi="Calibri" w:cs="Calibri"/>
          <w:sz w:val="28"/>
          <w:szCs w:val="28"/>
        </w:rPr>
      </w:pPr>
    </w:p>
    <w:p w14:paraId="7032EF1D" w14:textId="6800EEE2" w:rsidR="00F44ED1" w:rsidRPr="000C0775" w:rsidRDefault="00F44ED1" w:rsidP="000C0775">
      <w:pPr>
        <w:shd w:val="clear" w:color="auto" w:fill="FFFFFF"/>
        <w:spacing w:after="0" w:line="240" w:lineRule="auto"/>
        <w:rPr>
          <w:rFonts w:ascii="Calibri" w:eastAsia="Times New Roman" w:hAnsi="Calibri" w:cs="Calibri"/>
          <w:sz w:val="28"/>
          <w:szCs w:val="28"/>
        </w:rPr>
      </w:pPr>
      <w:r w:rsidRPr="00620538">
        <w:rPr>
          <w:rFonts w:ascii="Calibri" w:eastAsia="Times New Roman" w:hAnsi="Calibri" w:cs="Calibri"/>
          <w:sz w:val="28"/>
          <w:szCs w:val="28"/>
          <w:u w:val="single"/>
        </w:rPr>
        <w:t>Exception</w:t>
      </w:r>
      <w:r>
        <w:rPr>
          <w:rFonts w:ascii="Calibri" w:eastAsia="Times New Roman" w:hAnsi="Calibri" w:cs="Calibri"/>
          <w:sz w:val="28"/>
          <w:szCs w:val="28"/>
        </w:rPr>
        <w:t xml:space="preserve">: The National Science Foundation has a policy of funding supplemental </w:t>
      </w:r>
      <w:r w:rsidR="009D69AF">
        <w:rPr>
          <w:rFonts w:ascii="Calibri" w:eastAsia="Times New Roman" w:hAnsi="Calibri" w:cs="Calibri"/>
          <w:sz w:val="28"/>
          <w:szCs w:val="28"/>
        </w:rPr>
        <w:t xml:space="preserve">support using the negotiated indirect cost rate(s) approved at the time of the initial award, these supplemental proposals to NSF should use the </w:t>
      </w:r>
      <w:r w:rsidR="00915022">
        <w:rPr>
          <w:rFonts w:ascii="Calibri" w:eastAsia="Times New Roman" w:hAnsi="Calibri" w:cs="Calibri"/>
          <w:sz w:val="28"/>
          <w:szCs w:val="28"/>
        </w:rPr>
        <w:t>rates in the original agreements. Refer to NSF PAPPG</w:t>
      </w:r>
      <w:r w:rsidR="00C6062E">
        <w:rPr>
          <w:rFonts w:ascii="Calibri" w:eastAsia="Times New Roman" w:hAnsi="Calibri" w:cs="Calibri"/>
          <w:sz w:val="28"/>
          <w:szCs w:val="28"/>
        </w:rPr>
        <w:t xml:space="preserve"> Chapter X</w:t>
      </w:r>
      <w:r w:rsidR="00FD52CD">
        <w:rPr>
          <w:rFonts w:ascii="Calibri" w:eastAsia="Times New Roman" w:hAnsi="Calibri" w:cs="Calibri"/>
          <w:sz w:val="28"/>
          <w:szCs w:val="28"/>
        </w:rPr>
        <w:t>.D.1.d.</w:t>
      </w:r>
    </w:p>
    <w:p w14:paraId="505296C9" w14:textId="77777777" w:rsidR="00FA33D6" w:rsidRPr="00FA33D6" w:rsidRDefault="00FA33D6" w:rsidP="00FA33D6">
      <w:pPr>
        <w:shd w:val="clear" w:color="auto" w:fill="FFFFFF"/>
        <w:spacing w:after="0" w:line="240" w:lineRule="auto"/>
        <w:rPr>
          <w:rFonts w:ascii="Calibri" w:eastAsia="Times New Roman" w:hAnsi="Calibri" w:cs="Calibri"/>
          <w:sz w:val="28"/>
          <w:szCs w:val="28"/>
        </w:rPr>
      </w:pPr>
    </w:p>
    <w:p w14:paraId="6EB92D19" w14:textId="77777777" w:rsidR="00780ACE" w:rsidRPr="00780ACE" w:rsidRDefault="00780ACE" w:rsidP="00780ACE">
      <w:pPr>
        <w:pStyle w:val="Heading3"/>
        <w:numPr>
          <w:ilvl w:val="0"/>
          <w:numId w:val="2"/>
        </w:numPr>
        <w:shd w:val="clear" w:color="auto" w:fill="FFFFFF"/>
        <w:spacing w:before="0" w:after="300" w:line="312" w:lineRule="atLeast"/>
        <w:rPr>
          <w:rFonts w:ascii="Calibri" w:eastAsia="Times New Roman" w:hAnsi="Calibri" w:cs="Calibri"/>
          <w:b/>
          <w:bCs/>
          <w:i/>
          <w:color w:val="auto"/>
          <w:sz w:val="28"/>
          <w:szCs w:val="28"/>
        </w:rPr>
      </w:pPr>
      <w:r w:rsidRPr="00780ACE">
        <w:rPr>
          <w:rFonts w:ascii="Calibri" w:eastAsia="Times New Roman" w:hAnsi="Calibri" w:cs="Calibri"/>
          <w:b/>
          <w:bCs/>
          <w:i/>
          <w:color w:val="auto"/>
          <w:sz w:val="28"/>
          <w:szCs w:val="28"/>
        </w:rPr>
        <w:t>What F&amp;A rate is applied to carryover funding?</w:t>
      </w:r>
    </w:p>
    <w:p w14:paraId="51040C4C" w14:textId="77777777" w:rsidR="00780ACE" w:rsidRPr="00780ACE" w:rsidRDefault="00780ACE" w:rsidP="00780ACE">
      <w:pPr>
        <w:shd w:val="clear" w:color="auto" w:fill="FFFFFF"/>
        <w:spacing w:after="0" w:line="240" w:lineRule="auto"/>
        <w:rPr>
          <w:rFonts w:ascii="Calibri" w:eastAsia="Times New Roman" w:hAnsi="Calibri" w:cs="Calibri"/>
          <w:sz w:val="28"/>
          <w:szCs w:val="28"/>
        </w:rPr>
      </w:pPr>
      <w:r w:rsidRPr="00780ACE">
        <w:rPr>
          <w:rFonts w:ascii="Calibri" w:eastAsia="Times New Roman" w:hAnsi="Calibri" w:cs="Calibri"/>
          <w:sz w:val="28"/>
          <w:szCs w:val="28"/>
        </w:rPr>
        <w:t xml:space="preserve">Carryover is subject to the </w:t>
      </w:r>
      <w:r w:rsidR="00697966">
        <w:rPr>
          <w:rFonts w:ascii="Calibri" w:eastAsia="Times New Roman" w:hAnsi="Calibri" w:cs="Calibri"/>
          <w:sz w:val="28"/>
          <w:szCs w:val="28"/>
        </w:rPr>
        <w:t xml:space="preserve">current </w:t>
      </w:r>
      <w:r w:rsidRPr="00780ACE">
        <w:rPr>
          <w:rFonts w:ascii="Calibri" w:eastAsia="Times New Roman" w:hAnsi="Calibri" w:cs="Calibri"/>
          <w:sz w:val="28"/>
          <w:szCs w:val="28"/>
        </w:rPr>
        <w:t>F&amp;A rate</w:t>
      </w:r>
      <w:r w:rsidR="00697966">
        <w:rPr>
          <w:rFonts w:ascii="Calibri" w:eastAsia="Times New Roman" w:hAnsi="Calibri" w:cs="Calibri"/>
          <w:sz w:val="28"/>
          <w:szCs w:val="28"/>
        </w:rPr>
        <w:t xml:space="preserve">. </w:t>
      </w:r>
    </w:p>
    <w:p w14:paraId="23588EF6" w14:textId="77777777" w:rsidR="00780ACE" w:rsidRPr="00780ACE" w:rsidRDefault="00780ACE" w:rsidP="00B92318">
      <w:pPr>
        <w:pStyle w:val="ListParagraph"/>
        <w:ind w:left="360"/>
        <w:rPr>
          <w:rFonts w:ascii="Calibri" w:hAnsi="Calibri" w:cs="Calibri"/>
          <w:sz w:val="28"/>
          <w:szCs w:val="28"/>
        </w:rPr>
      </w:pPr>
    </w:p>
    <w:sectPr w:rsidR="00780ACE" w:rsidRPr="00780ACE" w:rsidSect="00392C61">
      <w:pgSz w:w="12240" w:h="15840"/>
      <w:pgMar w:top="576"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D68FB"/>
    <w:multiLevelType w:val="multilevel"/>
    <w:tmpl w:val="7242E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F35AB4"/>
    <w:multiLevelType w:val="hybridMultilevel"/>
    <w:tmpl w:val="6748A8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070"/>
    <w:rsid w:val="00012507"/>
    <w:rsid w:val="00021420"/>
    <w:rsid w:val="00082070"/>
    <w:rsid w:val="00093107"/>
    <w:rsid w:val="000C0775"/>
    <w:rsid w:val="000E58F2"/>
    <w:rsid w:val="00103A7D"/>
    <w:rsid w:val="001111DE"/>
    <w:rsid w:val="00157445"/>
    <w:rsid w:val="001D62C4"/>
    <w:rsid w:val="001E37EB"/>
    <w:rsid w:val="001F7159"/>
    <w:rsid w:val="00256307"/>
    <w:rsid w:val="00271A56"/>
    <w:rsid w:val="0028229F"/>
    <w:rsid w:val="00283C8B"/>
    <w:rsid w:val="002B1D7A"/>
    <w:rsid w:val="002E299F"/>
    <w:rsid w:val="002F48C9"/>
    <w:rsid w:val="003054BF"/>
    <w:rsid w:val="00312718"/>
    <w:rsid w:val="00337E55"/>
    <w:rsid w:val="00392C61"/>
    <w:rsid w:val="00424049"/>
    <w:rsid w:val="00467AFE"/>
    <w:rsid w:val="004902AC"/>
    <w:rsid w:val="00492C46"/>
    <w:rsid w:val="004943CB"/>
    <w:rsid w:val="004A2606"/>
    <w:rsid w:val="004A712B"/>
    <w:rsid w:val="00532076"/>
    <w:rsid w:val="005D1FED"/>
    <w:rsid w:val="00620538"/>
    <w:rsid w:val="006400AF"/>
    <w:rsid w:val="006954E3"/>
    <w:rsid w:val="00697966"/>
    <w:rsid w:val="006B5F75"/>
    <w:rsid w:val="006E50E7"/>
    <w:rsid w:val="00706D85"/>
    <w:rsid w:val="00716BD9"/>
    <w:rsid w:val="00780ACE"/>
    <w:rsid w:val="007A75D1"/>
    <w:rsid w:val="007C270A"/>
    <w:rsid w:val="007F2833"/>
    <w:rsid w:val="007F6441"/>
    <w:rsid w:val="0084087D"/>
    <w:rsid w:val="0084461B"/>
    <w:rsid w:val="008451FB"/>
    <w:rsid w:val="00877E5B"/>
    <w:rsid w:val="008E63DF"/>
    <w:rsid w:val="00915022"/>
    <w:rsid w:val="00923C75"/>
    <w:rsid w:val="00927E25"/>
    <w:rsid w:val="00972838"/>
    <w:rsid w:val="0098073A"/>
    <w:rsid w:val="00996910"/>
    <w:rsid w:val="009A7D77"/>
    <w:rsid w:val="009D2732"/>
    <w:rsid w:val="009D69AF"/>
    <w:rsid w:val="00A4122A"/>
    <w:rsid w:val="00A65B0C"/>
    <w:rsid w:val="00AD2D8A"/>
    <w:rsid w:val="00AF0006"/>
    <w:rsid w:val="00AF3C12"/>
    <w:rsid w:val="00B03681"/>
    <w:rsid w:val="00B43D61"/>
    <w:rsid w:val="00B74D0C"/>
    <w:rsid w:val="00B92318"/>
    <w:rsid w:val="00BA1947"/>
    <w:rsid w:val="00BA47FA"/>
    <w:rsid w:val="00BB3BEB"/>
    <w:rsid w:val="00BE1EAC"/>
    <w:rsid w:val="00C22A52"/>
    <w:rsid w:val="00C363AD"/>
    <w:rsid w:val="00C6062E"/>
    <w:rsid w:val="00CA5601"/>
    <w:rsid w:val="00CC72CF"/>
    <w:rsid w:val="00CF2F14"/>
    <w:rsid w:val="00D01DD7"/>
    <w:rsid w:val="00D05AC2"/>
    <w:rsid w:val="00D231C2"/>
    <w:rsid w:val="00D23936"/>
    <w:rsid w:val="00D57878"/>
    <w:rsid w:val="00D6073C"/>
    <w:rsid w:val="00D923E4"/>
    <w:rsid w:val="00DF54D1"/>
    <w:rsid w:val="00E03882"/>
    <w:rsid w:val="00E158C0"/>
    <w:rsid w:val="00E57D9F"/>
    <w:rsid w:val="00E618AE"/>
    <w:rsid w:val="00E62777"/>
    <w:rsid w:val="00E74117"/>
    <w:rsid w:val="00EC0AB0"/>
    <w:rsid w:val="00ED07C6"/>
    <w:rsid w:val="00F164DA"/>
    <w:rsid w:val="00F325AE"/>
    <w:rsid w:val="00F4334F"/>
    <w:rsid w:val="00F44ED1"/>
    <w:rsid w:val="00FA33D6"/>
    <w:rsid w:val="00FD5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A0679"/>
  <w15:chartTrackingRefBased/>
  <w15:docId w15:val="{DA9EE90D-B702-49EE-BA2A-ECA7DA214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492C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5AC2"/>
    <w:rPr>
      <w:color w:val="0000FF"/>
      <w:u w:val="single"/>
    </w:rPr>
  </w:style>
  <w:style w:type="table" w:styleId="TableGrid">
    <w:name w:val="Table Grid"/>
    <w:basedOn w:val="TableNormal"/>
    <w:uiPriority w:val="39"/>
    <w:rsid w:val="00996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492C4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392C61"/>
    <w:pPr>
      <w:ind w:left="720"/>
      <w:contextualSpacing/>
    </w:pPr>
  </w:style>
  <w:style w:type="paragraph" w:customStyle="1" w:styleId="collapsible-title">
    <w:name w:val="collapsible-title"/>
    <w:basedOn w:val="Normal"/>
    <w:rsid w:val="006400AF"/>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77E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0935">
      <w:bodyDiv w:val="1"/>
      <w:marLeft w:val="0"/>
      <w:marRight w:val="0"/>
      <w:marTop w:val="0"/>
      <w:marBottom w:val="0"/>
      <w:divBdr>
        <w:top w:val="none" w:sz="0" w:space="0" w:color="auto"/>
        <w:left w:val="none" w:sz="0" w:space="0" w:color="auto"/>
        <w:bottom w:val="none" w:sz="0" w:space="0" w:color="auto"/>
        <w:right w:val="none" w:sz="0" w:space="0" w:color="auto"/>
      </w:divBdr>
      <w:divsChild>
        <w:div w:id="680277162">
          <w:marLeft w:val="0"/>
          <w:marRight w:val="0"/>
          <w:marTop w:val="0"/>
          <w:marBottom w:val="0"/>
          <w:divBdr>
            <w:top w:val="none" w:sz="0" w:space="0" w:color="auto"/>
            <w:left w:val="none" w:sz="0" w:space="0" w:color="auto"/>
            <w:bottom w:val="none" w:sz="0" w:space="0" w:color="auto"/>
            <w:right w:val="none" w:sz="0" w:space="0" w:color="auto"/>
          </w:divBdr>
        </w:div>
      </w:divsChild>
    </w:div>
    <w:div w:id="731848157">
      <w:bodyDiv w:val="1"/>
      <w:marLeft w:val="0"/>
      <w:marRight w:val="0"/>
      <w:marTop w:val="0"/>
      <w:marBottom w:val="0"/>
      <w:divBdr>
        <w:top w:val="none" w:sz="0" w:space="0" w:color="auto"/>
        <w:left w:val="none" w:sz="0" w:space="0" w:color="auto"/>
        <w:bottom w:val="none" w:sz="0" w:space="0" w:color="auto"/>
        <w:right w:val="none" w:sz="0" w:space="0" w:color="auto"/>
      </w:divBdr>
      <w:divsChild>
        <w:div w:id="999431164">
          <w:marLeft w:val="0"/>
          <w:marRight w:val="0"/>
          <w:marTop w:val="0"/>
          <w:marBottom w:val="0"/>
          <w:divBdr>
            <w:top w:val="none" w:sz="0" w:space="0" w:color="auto"/>
            <w:left w:val="none" w:sz="0" w:space="0" w:color="auto"/>
            <w:bottom w:val="none" w:sz="0" w:space="0" w:color="auto"/>
            <w:right w:val="none" w:sz="0" w:space="0" w:color="auto"/>
          </w:divBdr>
        </w:div>
      </w:divsChild>
    </w:div>
    <w:div w:id="957488754">
      <w:bodyDiv w:val="1"/>
      <w:marLeft w:val="0"/>
      <w:marRight w:val="0"/>
      <w:marTop w:val="0"/>
      <w:marBottom w:val="0"/>
      <w:divBdr>
        <w:top w:val="none" w:sz="0" w:space="0" w:color="auto"/>
        <w:left w:val="none" w:sz="0" w:space="0" w:color="auto"/>
        <w:bottom w:val="none" w:sz="0" w:space="0" w:color="auto"/>
        <w:right w:val="none" w:sz="0" w:space="0" w:color="auto"/>
      </w:divBdr>
      <w:divsChild>
        <w:div w:id="1429231633">
          <w:marLeft w:val="0"/>
          <w:marRight w:val="0"/>
          <w:marTop w:val="0"/>
          <w:marBottom w:val="0"/>
          <w:divBdr>
            <w:top w:val="none" w:sz="0" w:space="0" w:color="auto"/>
            <w:left w:val="none" w:sz="0" w:space="0" w:color="auto"/>
            <w:bottom w:val="none" w:sz="0" w:space="0" w:color="auto"/>
            <w:right w:val="none" w:sz="0" w:space="0" w:color="auto"/>
          </w:divBdr>
        </w:div>
      </w:divsChild>
    </w:div>
    <w:div w:id="1151142425">
      <w:bodyDiv w:val="1"/>
      <w:marLeft w:val="0"/>
      <w:marRight w:val="0"/>
      <w:marTop w:val="0"/>
      <w:marBottom w:val="0"/>
      <w:divBdr>
        <w:top w:val="none" w:sz="0" w:space="0" w:color="auto"/>
        <w:left w:val="none" w:sz="0" w:space="0" w:color="auto"/>
        <w:bottom w:val="none" w:sz="0" w:space="0" w:color="auto"/>
        <w:right w:val="none" w:sz="0" w:space="0" w:color="auto"/>
      </w:divBdr>
      <w:divsChild>
        <w:div w:id="1833444743">
          <w:marLeft w:val="0"/>
          <w:marRight w:val="0"/>
          <w:marTop w:val="0"/>
          <w:marBottom w:val="0"/>
          <w:divBdr>
            <w:top w:val="none" w:sz="0" w:space="0" w:color="auto"/>
            <w:left w:val="none" w:sz="0" w:space="0" w:color="auto"/>
            <w:bottom w:val="none" w:sz="0" w:space="0" w:color="auto"/>
            <w:right w:val="none" w:sz="0" w:space="0" w:color="auto"/>
          </w:divBdr>
        </w:div>
      </w:divsChild>
    </w:div>
    <w:div w:id="1270163967">
      <w:bodyDiv w:val="1"/>
      <w:marLeft w:val="0"/>
      <w:marRight w:val="0"/>
      <w:marTop w:val="0"/>
      <w:marBottom w:val="0"/>
      <w:divBdr>
        <w:top w:val="none" w:sz="0" w:space="0" w:color="auto"/>
        <w:left w:val="none" w:sz="0" w:space="0" w:color="auto"/>
        <w:bottom w:val="none" w:sz="0" w:space="0" w:color="auto"/>
        <w:right w:val="none" w:sz="0" w:space="0" w:color="auto"/>
      </w:divBdr>
      <w:divsChild>
        <w:div w:id="2020351143">
          <w:marLeft w:val="0"/>
          <w:marRight w:val="0"/>
          <w:marTop w:val="0"/>
          <w:marBottom w:val="0"/>
          <w:divBdr>
            <w:top w:val="none" w:sz="0" w:space="0" w:color="auto"/>
            <w:left w:val="none" w:sz="0" w:space="0" w:color="auto"/>
            <w:bottom w:val="none" w:sz="0" w:space="0" w:color="auto"/>
            <w:right w:val="none" w:sz="0" w:space="0" w:color="auto"/>
          </w:divBdr>
        </w:div>
      </w:divsChild>
    </w:div>
    <w:div w:id="1781411960">
      <w:bodyDiv w:val="1"/>
      <w:marLeft w:val="0"/>
      <w:marRight w:val="0"/>
      <w:marTop w:val="0"/>
      <w:marBottom w:val="0"/>
      <w:divBdr>
        <w:top w:val="none" w:sz="0" w:space="0" w:color="auto"/>
        <w:left w:val="none" w:sz="0" w:space="0" w:color="auto"/>
        <w:bottom w:val="none" w:sz="0" w:space="0" w:color="auto"/>
        <w:right w:val="none" w:sz="0" w:space="0" w:color="auto"/>
      </w:divBdr>
    </w:div>
    <w:div w:id="1993438676">
      <w:bodyDiv w:val="1"/>
      <w:marLeft w:val="0"/>
      <w:marRight w:val="0"/>
      <w:marTop w:val="0"/>
      <w:marBottom w:val="0"/>
      <w:divBdr>
        <w:top w:val="none" w:sz="0" w:space="0" w:color="auto"/>
        <w:left w:val="none" w:sz="0" w:space="0" w:color="auto"/>
        <w:bottom w:val="none" w:sz="0" w:space="0" w:color="auto"/>
        <w:right w:val="none" w:sz="0" w:space="0" w:color="auto"/>
      </w:divBdr>
      <w:divsChild>
        <w:div w:id="401830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fsu.edu/research-offices/sr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B8C09804AE6141AFBCD10180EF4634" ma:contentTypeVersion="9" ma:contentTypeDescription="Create a new document." ma:contentTypeScope="" ma:versionID="bc2ed77deef11b36b75d858f9465c56c">
  <xsd:schema xmlns:xsd="http://www.w3.org/2001/XMLSchema" xmlns:xs="http://www.w3.org/2001/XMLSchema" xmlns:p="http://schemas.microsoft.com/office/2006/metadata/properties" xmlns:ns3="2c2af5ab-a6a4-4624-b857-7ffe7734c1b3" targetNamespace="http://schemas.microsoft.com/office/2006/metadata/properties" ma:root="true" ma:fieldsID="2a12ed99d3e03d8f32c0c11bd38c4449" ns3:_="">
    <xsd:import namespace="2c2af5ab-a6a4-4624-b857-7ffe7734c1b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af5ab-a6a4-4624-b857-7ffe7734c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FDA6D7-4BA3-45C6-9378-3C0489340571}">
  <ds:schemaRefs>
    <ds:schemaRef ds:uri="http://schemas.microsoft.com/sharepoint/v3/contenttype/forms"/>
  </ds:schemaRefs>
</ds:datastoreItem>
</file>

<file path=customXml/itemProps2.xml><?xml version="1.0" encoding="utf-8"?>
<ds:datastoreItem xmlns:ds="http://schemas.openxmlformats.org/officeDocument/2006/customXml" ds:itemID="{37FF958D-9395-4EED-8E1E-58B105667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af5ab-a6a4-4624-b857-7ffe7734c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5555ED-B22E-4175-A312-BA3659BCAF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Florida State University (RSCH)</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Campanale</dc:creator>
  <cp:keywords/>
  <dc:description/>
  <cp:lastModifiedBy>Eileen Campanale</cp:lastModifiedBy>
  <cp:revision>2</cp:revision>
  <dcterms:created xsi:type="dcterms:W3CDTF">2022-11-07T12:26:00Z</dcterms:created>
  <dcterms:modified xsi:type="dcterms:W3CDTF">2022-11-07T12:26:00Z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0x010100AFB8C09804AE6141AFBCD10180EF4634</vt:lpwstr>
  </property>
</Properties>
</file>