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10800"/>
      </w:tblGrid>
      <w:tr w:rsidR="00CB3D62" w14:paraId="2A64550A" w14:textId="77777777" w:rsidTr="003931BD">
        <w:trPr>
          <w:jc w:val="center"/>
        </w:trPr>
        <w:tc>
          <w:tcPr>
            <w:tcW w:w="0" w:type="auto"/>
            <w:hideMark/>
          </w:tcPr>
          <w:tbl>
            <w:tblPr>
              <w:tblW w:w="9000" w:type="dxa"/>
              <w:jc w:val="center"/>
              <w:tblCellMar>
                <w:left w:w="0" w:type="dxa"/>
                <w:right w:w="0" w:type="dxa"/>
              </w:tblCellMar>
              <w:tblLook w:val="04A0" w:firstRow="1" w:lastRow="0" w:firstColumn="1" w:lastColumn="0" w:noHBand="0" w:noVBand="1"/>
            </w:tblPr>
            <w:tblGrid>
              <w:gridCol w:w="9000"/>
            </w:tblGrid>
            <w:tr w:rsidR="00CB3D62" w14:paraId="294E9763" w14:textId="77777777" w:rsidTr="003931BD">
              <w:trPr>
                <w:jc w:val="center"/>
              </w:trPr>
              <w:tc>
                <w:tcPr>
                  <w:tcW w:w="5000" w:type="pct"/>
                  <w:vAlign w:val="center"/>
                  <w:hideMark/>
                </w:tcPr>
                <w:p w14:paraId="2DB58F7E" w14:textId="77777777" w:rsidR="00CB3D62" w:rsidRDefault="00CB3D62" w:rsidP="003931BD">
                  <w:pPr>
                    <w:spacing w:line="360" w:lineRule="auto"/>
                    <w:jc w:val="center"/>
                    <w:rPr>
                      <w:rFonts w:ascii="Arial" w:eastAsia="Times New Roman" w:hAnsi="Arial" w:cs="Arial"/>
                      <w:color w:val="2C2A29"/>
                      <w:sz w:val="21"/>
                      <w:szCs w:val="21"/>
                    </w:rPr>
                  </w:pPr>
                  <w:r>
                    <w:rPr>
                      <w:rFonts w:ascii="Verdana" w:eastAsia="Times New Roman" w:hAnsi="Verdana" w:cs="Arial"/>
                      <w:color w:val="444444"/>
                      <w:sz w:val="15"/>
                      <w:szCs w:val="15"/>
                    </w:rPr>
                    <w:t xml:space="preserve">To view this email as a web page, go </w:t>
                  </w:r>
                  <w:hyperlink r:id="rId5" w:history="1">
                    <w:r>
                      <w:rPr>
                        <w:rStyle w:val="Hyperlink"/>
                        <w:rFonts w:ascii="Verdana" w:eastAsia="Times New Roman" w:hAnsi="Verdana" w:cs="Arial"/>
                        <w:sz w:val="15"/>
                        <w:szCs w:val="15"/>
                      </w:rPr>
                      <w:t>here.</w:t>
                    </w:r>
                  </w:hyperlink>
                </w:p>
              </w:tc>
            </w:tr>
          </w:tbl>
          <w:p w14:paraId="471276CC" w14:textId="77777777" w:rsidR="00CB3D62" w:rsidRDefault="00CB3D62" w:rsidP="003931BD">
            <w:pPr>
              <w:jc w:val="center"/>
              <w:rPr>
                <w:rFonts w:ascii="Times New Roman" w:eastAsia="Times New Roman" w:hAnsi="Times New Roman" w:cs="Times New Roman"/>
                <w:color w:val="auto"/>
                <w:sz w:val="20"/>
                <w:szCs w:val="20"/>
              </w:rPr>
            </w:pPr>
          </w:p>
        </w:tc>
      </w:tr>
      <w:tr w:rsidR="00CB3D62" w14:paraId="0174B0C7" w14:textId="77777777" w:rsidTr="003931BD">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60"/>
            </w:tblGrid>
            <w:tr w:rsidR="00CB3D62" w14:paraId="7A5028CC" w14:textId="77777777" w:rsidTr="003931BD">
              <w:trPr>
                <w:jc w:val="center"/>
              </w:trPr>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60"/>
                  </w:tblGrid>
                  <w:tr w:rsidR="00CB3D62" w14:paraId="57BC5AE0" w14:textId="77777777" w:rsidTr="003931BD">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CB3D62" w14:paraId="08A1797B" w14:textId="77777777" w:rsidTr="003931BD">
                          <w:tc>
                            <w:tcPr>
                              <w:tcW w:w="0" w:type="auto"/>
                              <w:vAlign w:val="center"/>
                              <w:hideMark/>
                            </w:tcPr>
                            <w:tbl>
                              <w:tblPr>
                                <w:tblW w:w="5000" w:type="pct"/>
                                <w:tblCellMar>
                                  <w:left w:w="0" w:type="dxa"/>
                                  <w:right w:w="0" w:type="dxa"/>
                                </w:tblCellMar>
                                <w:tblLook w:val="04A0" w:firstRow="1" w:lastRow="0" w:firstColumn="1" w:lastColumn="0" w:noHBand="0" w:noVBand="1"/>
                              </w:tblPr>
                              <w:tblGrid>
                                <w:gridCol w:w="9060"/>
                              </w:tblGrid>
                              <w:tr w:rsidR="00CB3D62" w14:paraId="4A3EFC1C" w14:textId="77777777" w:rsidTr="003931BD">
                                <w:tc>
                                  <w:tcPr>
                                    <w:tcW w:w="0" w:type="auto"/>
                                    <w:hideMark/>
                                  </w:tcPr>
                                  <w:tbl>
                                    <w:tblPr>
                                      <w:tblW w:w="5000" w:type="pct"/>
                                      <w:tblCellMar>
                                        <w:left w:w="0" w:type="dxa"/>
                                        <w:right w:w="0" w:type="dxa"/>
                                      </w:tblCellMar>
                                      <w:tblLook w:val="04A0" w:firstRow="1" w:lastRow="0" w:firstColumn="1" w:lastColumn="0" w:noHBand="0" w:noVBand="1"/>
                                    </w:tblPr>
                                    <w:tblGrid>
                                      <w:gridCol w:w="9060"/>
                                    </w:tblGrid>
                                    <w:tr w:rsidR="00CB3D62" w14:paraId="02F1C7FD" w14:textId="77777777" w:rsidTr="003931BD">
                                      <w:tc>
                                        <w:tcPr>
                                          <w:tcW w:w="0" w:type="auto"/>
                                          <w:vAlign w:val="center"/>
                                          <w:hideMark/>
                                        </w:tcPr>
                                        <w:tbl>
                                          <w:tblPr>
                                            <w:tblW w:w="5000" w:type="pct"/>
                                            <w:tblCellMar>
                                              <w:left w:w="0" w:type="dxa"/>
                                              <w:right w:w="0" w:type="dxa"/>
                                            </w:tblCellMar>
                                            <w:tblLook w:val="04A0" w:firstRow="1" w:lastRow="0" w:firstColumn="1" w:lastColumn="0" w:noHBand="0" w:noVBand="1"/>
                                          </w:tblPr>
                                          <w:tblGrid>
                                            <w:gridCol w:w="9060"/>
                                          </w:tblGrid>
                                          <w:tr w:rsidR="00CB3D62" w14:paraId="6AD1F5B2" w14:textId="77777777" w:rsidTr="003931BD">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60"/>
                                                </w:tblGrid>
                                                <w:tr w:rsidR="00CB3D62" w14:paraId="552D3B7C" w14:textId="77777777" w:rsidTr="003931BD">
                                                  <w:trPr>
                                                    <w:jc w:val="center"/>
                                                  </w:trPr>
                                                  <w:tc>
                                                    <w:tcPr>
                                                      <w:tcW w:w="0" w:type="auto"/>
                                                      <w:vAlign w:val="center"/>
                                                      <w:hideMark/>
                                                    </w:tcPr>
                                                    <w:p w14:paraId="661F2DCF" w14:textId="77777777" w:rsidR="00CB3D62" w:rsidRDefault="00CB3D62" w:rsidP="003931BD">
                                                      <w:pPr>
                                                        <w:spacing w:line="360" w:lineRule="auto"/>
                                                        <w:jc w:val="center"/>
                                                        <w:rPr>
                                                          <w:rFonts w:ascii="Arial" w:eastAsia="Times New Roman" w:hAnsi="Arial" w:cs="Arial"/>
                                                          <w:color w:val="2C2A29"/>
                                                          <w:sz w:val="21"/>
                                                          <w:szCs w:val="21"/>
                                                        </w:rPr>
                                                      </w:pPr>
                                                      <w:r>
                                                        <w:rPr>
                                                          <w:rFonts w:ascii="Arial" w:eastAsia="Times New Roman" w:hAnsi="Arial" w:cs="Arial"/>
                                                          <w:noProof/>
                                                          <w:color w:val="2C2A29"/>
                                                          <w:sz w:val="21"/>
                                                          <w:szCs w:val="21"/>
                                                        </w:rPr>
                                                        <w:drawing>
                                                          <wp:inline distT="0" distB="0" distL="0" distR="0" wp14:anchorId="39D51166" wp14:editId="3E094D1F">
                                                            <wp:extent cx="57150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047750"/>
                                                                    </a:xfrm>
                                                                    <a:prstGeom prst="rect">
                                                                      <a:avLst/>
                                                                    </a:prstGeom>
                                                                    <a:noFill/>
                                                                    <a:ln>
                                                                      <a:noFill/>
                                                                    </a:ln>
                                                                  </pic:spPr>
                                                                </pic:pic>
                                                              </a:graphicData>
                                                            </a:graphic>
                                                          </wp:inline>
                                                        </w:drawing>
                                                      </w:r>
                                                    </w:p>
                                                  </w:tc>
                                                </w:tr>
                                              </w:tbl>
                                              <w:p w14:paraId="434FE35B" w14:textId="77777777" w:rsidR="00CB3D62" w:rsidRDefault="00CB3D62" w:rsidP="003931BD">
                                                <w:pPr>
                                                  <w:jc w:val="center"/>
                                                  <w:rPr>
                                                    <w:rFonts w:ascii="Times New Roman" w:eastAsia="Times New Roman" w:hAnsi="Times New Roman" w:cs="Times New Roman"/>
                                                    <w:color w:val="auto"/>
                                                    <w:sz w:val="20"/>
                                                    <w:szCs w:val="20"/>
                                                  </w:rPr>
                                                </w:pPr>
                                              </w:p>
                                            </w:tc>
                                          </w:tr>
                                        </w:tbl>
                                        <w:p w14:paraId="13CB8D20" w14:textId="77777777" w:rsidR="00CB3D62" w:rsidRDefault="00CB3D62" w:rsidP="003931BD">
                                          <w:pPr>
                                            <w:rPr>
                                              <w:rFonts w:ascii="Times New Roman" w:eastAsia="Times New Roman" w:hAnsi="Times New Roman" w:cs="Times New Roman"/>
                                              <w:color w:val="auto"/>
                                              <w:sz w:val="20"/>
                                              <w:szCs w:val="20"/>
                                            </w:rPr>
                                          </w:pPr>
                                        </w:p>
                                      </w:tc>
                                    </w:tr>
                                  </w:tbl>
                                  <w:p w14:paraId="1091F3B4" w14:textId="77777777" w:rsidR="00CB3D62" w:rsidRDefault="00CB3D62" w:rsidP="003931BD">
                                    <w:pPr>
                                      <w:rPr>
                                        <w:rFonts w:ascii="Times New Roman" w:eastAsia="Times New Roman" w:hAnsi="Times New Roman" w:cs="Times New Roman"/>
                                        <w:color w:val="auto"/>
                                        <w:sz w:val="20"/>
                                        <w:szCs w:val="20"/>
                                      </w:rPr>
                                    </w:pPr>
                                  </w:p>
                                </w:tc>
                              </w:tr>
                              <w:tr w:rsidR="00CB3D62" w14:paraId="74171601" w14:textId="77777777" w:rsidTr="003931BD">
                                <w:tc>
                                  <w:tcPr>
                                    <w:tcW w:w="0" w:type="auto"/>
                                    <w:hideMark/>
                                  </w:tcPr>
                                  <w:tbl>
                                    <w:tblPr>
                                      <w:tblW w:w="5000" w:type="pct"/>
                                      <w:tblBorders>
                                        <w:bottom w:val="single" w:sz="6" w:space="0" w:color="AEAEAE"/>
                                      </w:tblBorders>
                                      <w:tblCellMar>
                                        <w:left w:w="0" w:type="dxa"/>
                                        <w:right w:w="0" w:type="dxa"/>
                                      </w:tblCellMar>
                                      <w:tblLook w:val="04A0" w:firstRow="1" w:lastRow="0" w:firstColumn="1" w:lastColumn="0" w:noHBand="0" w:noVBand="1"/>
                                    </w:tblPr>
                                    <w:tblGrid>
                                      <w:gridCol w:w="9060"/>
                                    </w:tblGrid>
                                    <w:tr w:rsidR="00CB3D62" w14:paraId="6898A699" w14:textId="77777777" w:rsidTr="003931BD">
                                      <w:tc>
                                        <w:tcPr>
                                          <w:tcW w:w="0" w:type="auto"/>
                                          <w:tcBorders>
                                            <w:top w:val="nil"/>
                                            <w:left w:val="nil"/>
                                            <w:bottom w:val="single" w:sz="6" w:space="0" w:color="AEAEAE"/>
                                            <w:right w:val="nil"/>
                                          </w:tcBorders>
                                          <w:tcMar>
                                            <w:top w:w="0" w:type="dxa"/>
                                            <w:left w:w="0" w:type="dxa"/>
                                            <w:bottom w:w="1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60"/>
                                          </w:tblGrid>
                                          <w:tr w:rsidR="00CB3D62" w14:paraId="1A3E3186" w14:textId="77777777" w:rsidTr="003931BD">
                                            <w:tc>
                                              <w:tcPr>
                                                <w:tcW w:w="0" w:type="auto"/>
                                                <w:tcMar>
                                                  <w:top w:w="150" w:type="dxa"/>
                                                  <w:left w:w="0" w:type="dxa"/>
                                                  <w:bottom w:w="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60"/>
                                                </w:tblGrid>
                                                <w:tr w:rsidR="00CB3D62" w14:paraId="49A2E473" w14:textId="77777777" w:rsidTr="003931BD">
                                                  <w:tc>
                                                    <w:tcPr>
                                                      <w:tcW w:w="0" w:type="auto"/>
                                                      <w:tcMar>
                                                        <w:top w:w="0" w:type="dxa"/>
                                                        <w:left w:w="150" w:type="dxa"/>
                                                        <w:bottom w:w="0" w:type="dxa"/>
                                                        <w:right w:w="150" w:type="dxa"/>
                                                      </w:tcMar>
                                                      <w:vAlign w:val="center"/>
                                                      <w:hideMark/>
                                                    </w:tcPr>
                                                    <w:p w14:paraId="6D5AA618" w14:textId="77777777" w:rsidR="00CB3D62" w:rsidRDefault="00CB3D62" w:rsidP="003931BD">
                                                      <w:pPr>
                                                        <w:spacing w:line="360" w:lineRule="auto"/>
                                                        <w:jc w:val="center"/>
                                                        <w:rPr>
                                                          <w:rFonts w:ascii="Arial" w:eastAsia="Times New Roman" w:hAnsi="Arial" w:cs="Arial"/>
                                                          <w:color w:val="2C2A29"/>
                                                          <w:sz w:val="21"/>
                                                          <w:szCs w:val="21"/>
                                                        </w:rPr>
                                                      </w:pPr>
                                                      <w:r>
                                                        <w:rPr>
                                                          <w:rFonts w:ascii="Arial" w:eastAsia="Times New Roman" w:hAnsi="Arial" w:cs="Arial"/>
                                                          <w:b/>
                                                          <w:bCs/>
                                                          <w:color w:val="2C2A29"/>
                                                          <w:sz w:val="21"/>
                                                          <w:szCs w:val="21"/>
                                                        </w:rPr>
                                                        <w:t>This message to all deans, directors and department chairs has been approved by</w:t>
                                                      </w:r>
                                                      <w:r>
                                                        <w:rPr>
                                                          <w:rFonts w:ascii="Arial" w:eastAsia="Times New Roman" w:hAnsi="Arial" w:cs="Arial"/>
                                                          <w:b/>
                                                          <w:bCs/>
                                                          <w:color w:val="2C2A29"/>
                                                          <w:sz w:val="21"/>
                                                          <w:szCs w:val="21"/>
                                                        </w:rPr>
                                                        <w:br/>
                                                        <w:t>Dr. Stacey Patterson, Vice President for Research.</w:t>
                                                      </w:r>
                                                    </w:p>
                                                  </w:tc>
                                                </w:tr>
                                              </w:tbl>
                                              <w:p w14:paraId="0922E1D4" w14:textId="77777777" w:rsidR="00CB3D62" w:rsidRDefault="00CB3D62" w:rsidP="003931BD">
                                                <w:pPr>
                                                  <w:rPr>
                                                    <w:rFonts w:ascii="Times New Roman" w:eastAsia="Times New Roman" w:hAnsi="Times New Roman" w:cs="Times New Roman"/>
                                                    <w:color w:val="auto"/>
                                                    <w:sz w:val="20"/>
                                                    <w:szCs w:val="20"/>
                                                  </w:rPr>
                                                </w:pPr>
                                              </w:p>
                                            </w:tc>
                                          </w:tr>
                                        </w:tbl>
                                        <w:p w14:paraId="5EFE9B4C" w14:textId="77777777" w:rsidR="00CB3D62" w:rsidRDefault="00CB3D62" w:rsidP="003931BD">
                                          <w:pPr>
                                            <w:rPr>
                                              <w:rFonts w:ascii="Times New Roman" w:eastAsia="Times New Roman" w:hAnsi="Times New Roman" w:cs="Times New Roman"/>
                                              <w:color w:val="auto"/>
                                              <w:sz w:val="20"/>
                                              <w:szCs w:val="20"/>
                                            </w:rPr>
                                          </w:pPr>
                                        </w:p>
                                      </w:tc>
                                    </w:tr>
                                  </w:tbl>
                                  <w:p w14:paraId="433C1C51" w14:textId="77777777" w:rsidR="00CB3D62" w:rsidRDefault="00CB3D62" w:rsidP="003931BD">
                                    <w:pPr>
                                      <w:rPr>
                                        <w:rFonts w:ascii="Times New Roman" w:eastAsia="Times New Roman" w:hAnsi="Times New Roman" w:cs="Times New Roman"/>
                                        <w:color w:val="auto"/>
                                        <w:sz w:val="20"/>
                                        <w:szCs w:val="20"/>
                                      </w:rPr>
                                    </w:pPr>
                                  </w:p>
                                </w:tc>
                              </w:tr>
                              <w:tr w:rsidR="00CB3D62" w14:paraId="3DD0E760" w14:textId="77777777" w:rsidTr="003931BD">
                                <w:tc>
                                  <w:tcPr>
                                    <w:tcW w:w="0" w:type="auto"/>
                                    <w:hideMark/>
                                  </w:tcPr>
                                  <w:tbl>
                                    <w:tblPr>
                                      <w:tblW w:w="5000" w:type="pct"/>
                                      <w:tblCellMar>
                                        <w:left w:w="0" w:type="dxa"/>
                                        <w:right w:w="0" w:type="dxa"/>
                                      </w:tblCellMar>
                                      <w:tblLook w:val="04A0" w:firstRow="1" w:lastRow="0" w:firstColumn="1" w:lastColumn="0" w:noHBand="0" w:noVBand="1"/>
                                    </w:tblPr>
                                    <w:tblGrid>
                                      <w:gridCol w:w="9060"/>
                                    </w:tblGrid>
                                    <w:tr w:rsidR="00CB3D62" w14:paraId="3E7B9CFE" w14:textId="77777777" w:rsidTr="003931BD">
                                      <w:tc>
                                        <w:tcPr>
                                          <w:tcW w:w="0" w:type="auto"/>
                                          <w:tcMar>
                                            <w:top w:w="150" w:type="dxa"/>
                                            <w:left w:w="0" w:type="dxa"/>
                                            <w:bottom w:w="150" w:type="dxa"/>
                                            <w:right w:w="0" w:type="dxa"/>
                                          </w:tcMar>
                                          <w:vAlign w:val="center"/>
                                        </w:tcPr>
                                        <w:tbl>
                                          <w:tblPr>
                                            <w:tblW w:w="5000" w:type="pct"/>
                                            <w:tblCellMar>
                                              <w:left w:w="0" w:type="dxa"/>
                                              <w:right w:w="0" w:type="dxa"/>
                                            </w:tblCellMar>
                                            <w:tblLook w:val="04A0" w:firstRow="1" w:lastRow="0" w:firstColumn="1" w:lastColumn="0" w:noHBand="0" w:noVBand="1"/>
                                          </w:tblPr>
                                          <w:tblGrid>
                                            <w:gridCol w:w="9060"/>
                                          </w:tblGrid>
                                          <w:tr w:rsidR="00CB3D62" w14:paraId="4F84A73B" w14:textId="77777777" w:rsidTr="003931BD">
                                            <w:tc>
                                              <w:tcPr>
                                                <w:tcW w:w="0" w:type="auto"/>
                                                <w:tcMar>
                                                  <w:top w:w="0" w:type="dxa"/>
                                                  <w:left w:w="150" w:type="dxa"/>
                                                  <w:bottom w:w="150" w:type="dxa"/>
                                                  <w:right w:w="150" w:type="dxa"/>
                                                </w:tcMar>
                                                <w:vAlign w:val="center"/>
                                                <w:hideMark/>
                                              </w:tcPr>
                                              <w:p w14:paraId="34B4289D" w14:textId="77777777" w:rsidR="00CB3D62" w:rsidRDefault="00CB3D62" w:rsidP="003931BD">
                                                <w:pPr>
                                                  <w:spacing w:line="360" w:lineRule="auto"/>
                                                  <w:rPr>
                                                    <w:rFonts w:ascii="Arial" w:eastAsia="Times New Roman" w:hAnsi="Arial" w:cs="Arial"/>
                                                    <w:color w:val="2C2A29"/>
                                                    <w:sz w:val="21"/>
                                                    <w:szCs w:val="21"/>
                                                  </w:rPr>
                                                </w:pPr>
                                                <w:r>
                                                  <w:rPr>
                                                    <w:rFonts w:ascii="Arial" w:eastAsia="Times New Roman" w:hAnsi="Arial" w:cs="Arial"/>
                                                    <w:color w:val="2C2A29"/>
                                                    <w:sz w:val="21"/>
                                                    <w:szCs w:val="21"/>
                                                  </w:rPr>
                                                  <w:t>The Office of Research is committed to continually reviewing our policies and procedures to streamline processes and reduce administrative burden. As such, we are excited to announce some upcoming changes to our Unfavorable Terms (UFT) memo process aimed at reducing the negotiation time for contracts and grants and increase the speed of award setup. </w:t>
                                                </w:r>
                                                <w:r>
                                                  <w:rPr>
                                                    <w:rFonts w:ascii="Arial" w:eastAsia="Times New Roman" w:hAnsi="Arial" w:cs="Arial"/>
                                                    <w:color w:val="2C2A29"/>
                                                    <w:sz w:val="21"/>
                                                    <w:szCs w:val="21"/>
                                                  </w:rPr>
                                                  <w:br/>
                                                </w:r>
                                                <w:r>
                                                  <w:rPr>
                                                    <w:rFonts w:ascii="Arial" w:eastAsia="Times New Roman" w:hAnsi="Arial" w:cs="Arial"/>
                                                    <w:color w:val="2C2A29"/>
                                                    <w:sz w:val="21"/>
                                                    <w:szCs w:val="21"/>
                                                  </w:rPr>
                                                  <w:br/>
                                                  <w:t>The Office of Research will continue to negotiate the most favorable terms possible for the university, and departmental accountability for its failure to perform or for a breach of contract will remain unchanged. However, the following terms have been evaluated and deemed as low or university-level risks and will no longer require a UFT to be completed and approved by Chairs and Deans to accept the award.</w:t>
                                                </w:r>
                                              </w:p>
                                              <w:p w14:paraId="7E86D96F" w14:textId="77777777" w:rsidR="00CB3D62" w:rsidRDefault="00CB3D62" w:rsidP="003931BD">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Court venue &amp; governing law outside of Florida</w:t>
                                                </w:r>
                                              </w:p>
                                              <w:p w14:paraId="165085B1" w14:textId="77777777" w:rsidR="00CB3D62" w:rsidRDefault="00CB3D62" w:rsidP="003931BD">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Inability to have disputes decided in a court of law </w:t>
                                                </w:r>
                                              </w:p>
                                              <w:p w14:paraId="2A258F46" w14:textId="77777777" w:rsidR="00CB3D62" w:rsidRDefault="00CB3D62" w:rsidP="003931BD">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Financial consequences for failure to perform</w:t>
                                                </w:r>
                                              </w:p>
                                              <w:p w14:paraId="7DF63E34" w14:textId="77777777" w:rsidR="00CB3D62" w:rsidRDefault="00CB3D62" w:rsidP="003931BD">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Time is of the essence, which are treated as a breach of contract</w:t>
                                                </w:r>
                                              </w:p>
                                              <w:p w14:paraId="6ABD3F8F" w14:textId="77777777" w:rsidR="00CB3D62" w:rsidRDefault="00CB3D62" w:rsidP="003931BD">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Lack of ability to terminate for convenience </w:t>
                                                </w:r>
                                              </w:p>
                                              <w:p w14:paraId="793C35B9" w14:textId="77777777" w:rsidR="00CB3D62" w:rsidRDefault="00CB3D62" w:rsidP="003931BD">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Sponsors right to terminate for breach without an obligation to pay for the project</w:t>
                                                </w:r>
                                              </w:p>
                                              <w:p w14:paraId="15E6062D" w14:textId="77777777" w:rsidR="00CB3D62" w:rsidRDefault="00CB3D62" w:rsidP="003931BD">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Continuation of work during a dispute</w:t>
                                                </w:r>
                                              </w:p>
                                              <w:p w14:paraId="3487AB83" w14:textId="77777777" w:rsidR="00CB3D62" w:rsidRDefault="00CB3D62" w:rsidP="003931BD">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Reimbursement of sponsor for investigation or audit costs </w:t>
                                                </w:r>
                                              </w:p>
                                              <w:p w14:paraId="53CB9F26" w14:textId="77777777" w:rsidR="00CB3D62" w:rsidRDefault="00CB3D62" w:rsidP="003931BD">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Re-Procurement costs for having to re-perform any of the work required by the sponsor</w:t>
                                                </w:r>
                                              </w:p>
                                              <w:p w14:paraId="45A5577C" w14:textId="77777777" w:rsidR="00CB3D62" w:rsidRDefault="00CB3D62" w:rsidP="003931BD">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Commercialization costs to be covered by the department/university</w:t>
                                                </w:r>
                                              </w:p>
                                              <w:p w14:paraId="731A125A" w14:textId="77777777" w:rsidR="00CB3D62" w:rsidRDefault="00CB3D62" w:rsidP="003931BD">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Deficiencies created by conversion rates </w:t>
                                                </w:r>
                                              </w:p>
                                              <w:p w14:paraId="4A3EEC86" w14:textId="77777777" w:rsidR="00CB3D62" w:rsidRDefault="00CB3D62" w:rsidP="003931BD">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Consequences of an award adversely impacting other awards from the sponsor </w:t>
                                                </w:r>
                                              </w:p>
                                              <w:p w14:paraId="6B04A4D2" w14:textId="77777777" w:rsidR="00CB3D62" w:rsidRDefault="00CB3D62" w:rsidP="003931BD">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Sponsor’s authority to make decisions related to Human Resources</w:t>
                                                </w:r>
                                              </w:p>
                                              <w:p w14:paraId="2C340BD2" w14:textId="77777777" w:rsidR="00CB3D62" w:rsidRDefault="00CB3D62" w:rsidP="003931BD">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Requirement of sponsor’s prior approval of language and/or terms and conditions before the issuance of an outgoing subcontract </w:t>
                                                </w:r>
                                              </w:p>
                                              <w:p w14:paraId="63B630C2" w14:textId="77777777" w:rsidR="00CB3D62" w:rsidRDefault="00CB3D62" w:rsidP="003931BD">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Rated orders prioritizing work in the contract over all other matters </w:t>
                                                </w:r>
                                              </w:p>
                                              <w:p w14:paraId="5F796887" w14:textId="77777777" w:rsidR="00CB3D62" w:rsidRDefault="00CB3D62" w:rsidP="003931BD">
                                                <w:pPr>
                                                  <w:numPr>
                                                    <w:ilvl w:val="0"/>
                                                    <w:numId w:val="1"/>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Department responsibility for background checks when not allowed on the project</w:t>
                                                </w:r>
                                              </w:p>
                                              <w:p w14:paraId="4FABEC04" w14:textId="77777777" w:rsidR="00CB3D62" w:rsidRDefault="00CB3D62" w:rsidP="003931BD">
                                                <w:pPr>
                                                  <w:spacing w:line="360" w:lineRule="auto"/>
                                                  <w:rPr>
                                                    <w:rFonts w:ascii="Arial" w:eastAsia="Times New Roman" w:hAnsi="Arial" w:cs="Arial"/>
                                                    <w:color w:val="2C2A29"/>
                                                    <w:sz w:val="21"/>
                                                    <w:szCs w:val="21"/>
                                                  </w:rPr>
                                                </w:pPr>
                                                <w:r>
                                                  <w:rPr>
                                                    <w:rFonts w:ascii="Arial" w:eastAsia="Times New Roman" w:hAnsi="Arial" w:cs="Arial"/>
                                                    <w:color w:val="2C2A29"/>
                                                    <w:sz w:val="21"/>
                                                    <w:szCs w:val="21"/>
                                                  </w:rPr>
                                                  <w:lastRenderedPageBreak/>
                                                  <w:t>Additionally, on occasion, contracts &amp; grants include terms that require the departments to follow business processes outside of the standard operating procedures at FSU. We will no longer require a UFT for these terms &amp; conditions. Departments will be notified during the award review process of their additional responsibilities for managing the impacted project. Examples of these types of concerns include, but are not limited to:</w:t>
                                                </w:r>
                                              </w:p>
                                              <w:p w14:paraId="118A41A7" w14:textId="77777777" w:rsidR="00CB3D62" w:rsidRDefault="00CB3D62" w:rsidP="003931BD">
                                                <w:pPr>
                                                  <w:numPr>
                                                    <w:ilvl w:val="0"/>
                                                    <w:numId w:val="2"/>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Department responsibility for providing supporting documentation for invoices</w:t>
                                                </w:r>
                                              </w:p>
                                              <w:p w14:paraId="0005623D" w14:textId="77777777" w:rsidR="00CB3D62" w:rsidRDefault="00CB3D62" w:rsidP="003931BD">
                                                <w:pPr>
                                                  <w:numPr>
                                                    <w:ilvl w:val="0"/>
                                                    <w:numId w:val="2"/>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Department responsibility for time keeping outside our OMNI HR timekeeping procedures</w:t>
                                                </w:r>
                                              </w:p>
                                              <w:p w14:paraId="699664F9" w14:textId="77777777" w:rsidR="00CB3D62" w:rsidRDefault="00CB3D62" w:rsidP="003931BD">
                                                <w:pPr>
                                                  <w:numPr>
                                                    <w:ilvl w:val="0"/>
                                                    <w:numId w:val="2"/>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Department responsibility for obligations after the project ends</w:t>
                                                </w:r>
                                              </w:p>
                                              <w:p w14:paraId="49AC81BE" w14:textId="77777777" w:rsidR="00CB3D62" w:rsidRDefault="00CB3D62" w:rsidP="003931BD">
                                                <w:pPr>
                                                  <w:numPr>
                                                    <w:ilvl w:val="0"/>
                                                    <w:numId w:val="2"/>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Department responsibility for record retention beyond FSU policy</w:t>
                                                </w:r>
                                              </w:p>
                                              <w:p w14:paraId="79FA4331" w14:textId="77777777" w:rsidR="00CB3D62" w:rsidRDefault="00CB3D62" w:rsidP="003931BD">
                                                <w:pPr>
                                                  <w:numPr>
                                                    <w:ilvl w:val="0"/>
                                                    <w:numId w:val="2"/>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Department responsibility for marking items confidential</w:t>
                                                </w:r>
                                              </w:p>
                                              <w:p w14:paraId="10F0A198" w14:textId="77777777" w:rsidR="00CB3D62" w:rsidRDefault="00CB3D62" w:rsidP="003931BD">
                                                <w:pPr>
                                                  <w:numPr>
                                                    <w:ilvl w:val="0"/>
                                                    <w:numId w:val="2"/>
                                                  </w:numPr>
                                                  <w:spacing w:before="100" w:beforeAutospacing="1" w:after="100" w:afterAutospacing="1" w:line="360" w:lineRule="auto"/>
                                                  <w:rPr>
                                                    <w:rFonts w:ascii="Arial" w:eastAsia="Times New Roman" w:hAnsi="Arial" w:cs="Arial"/>
                                                    <w:color w:val="2C2A29"/>
                                                    <w:sz w:val="21"/>
                                                    <w:szCs w:val="21"/>
                                                  </w:rPr>
                                                </w:pPr>
                                                <w:r>
                                                  <w:rPr>
                                                    <w:rFonts w:ascii="Arial" w:eastAsia="Times New Roman" w:hAnsi="Arial" w:cs="Arial"/>
                                                    <w:color w:val="2C2A29"/>
                                                    <w:sz w:val="21"/>
                                                    <w:szCs w:val="21"/>
                                                  </w:rPr>
                                                  <w:t>Department responsibility for maintaining confidentiality of unmarked items and verbal/visual information </w:t>
                                                </w:r>
                                              </w:p>
                                              <w:p w14:paraId="7A74022E" w14:textId="77777777" w:rsidR="00CB3D62" w:rsidRDefault="00CB3D62" w:rsidP="003931BD">
                                                <w:pPr>
                                                  <w:spacing w:line="360" w:lineRule="auto"/>
                                                  <w:rPr>
                                                    <w:rFonts w:ascii="Arial" w:eastAsia="Times New Roman" w:hAnsi="Arial" w:cs="Arial"/>
                                                    <w:color w:val="2C2A29"/>
                                                    <w:sz w:val="21"/>
                                                    <w:szCs w:val="21"/>
                                                  </w:rPr>
                                                </w:pPr>
                                                <w:r>
                                                  <w:rPr>
                                                    <w:rFonts w:ascii="Arial" w:eastAsia="Times New Roman" w:hAnsi="Arial" w:cs="Arial"/>
                                                    <w:b/>
                                                    <w:bCs/>
                                                    <w:color w:val="2C2A29"/>
                                                    <w:sz w:val="21"/>
                                                    <w:szCs w:val="21"/>
                                                  </w:rPr>
                                                  <w:t>These changes will take effect September 1, 2023.</w:t>
                                                </w:r>
                                                <w:r>
                                                  <w:rPr>
                                                    <w:rFonts w:ascii="Arial" w:eastAsia="Times New Roman" w:hAnsi="Arial" w:cs="Arial"/>
                                                    <w:color w:val="2C2A29"/>
                                                    <w:sz w:val="21"/>
                                                    <w:szCs w:val="21"/>
                                                  </w:rPr>
                                                  <w:t> </w:t>
                                                </w:r>
                                                <w:r>
                                                  <w:rPr>
                                                    <w:rFonts w:ascii="Arial" w:eastAsia="Times New Roman" w:hAnsi="Arial" w:cs="Arial"/>
                                                    <w:color w:val="2C2A29"/>
                                                    <w:sz w:val="21"/>
                                                    <w:szCs w:val="21"/>
                                                  </w:rPr>
                                                  <w:br/>
                                                </w:r>
                                                <w:r>
                                                  <w:rPr>
                                                    <w:rFonts w:ascii="Arial" w:eastAsia="Times New Roman" w:hAnsi="Arial" w:cs="Arial"/>
                                                    <w:color w:val="2C2A29"/>
                                                    <w:sz w:val="21"/>
                                                    <w:szCs w:val="21"/>
                                                  </w:rPr>
                                                  <w:br/>
                                                  <w:t>Our goal is continuous improvement in our processes while providing the best service possible to the FSU research community. The changes outlined here will reduce turnaround time in contract negotiations and award setup for everyone. If you have any questions or concerns regarding the impact of this change, please contact Stacey Patterson (</w:t>
                                                </w:r>
                                                <w:hyperlink r:id="rId7" w:tooltip="stacey@fsu.edu" w:history="1">
                                                  <w:r>
                                                    <w:rPr>
                                                      <w:rStyle w:val="Hyperlink"/>
                                                      <w:rFonts w:ascii="Arial" w:eastAsia="Times New Roman" w:hAnsi="Arial" w:cs="Arial"/>
                                                      <w:color w:val="782F40"/>
                                                      <w:sz w:val="21"/>
                                                      <w:szCs w:val="21"/>
                                                    </w:rPr>
                                                    <w:t>stacey@fsu.edu</w:t>
                                                  </w:r>
                                                </w:hyperlink>
                                                <w:r>
                                                  <w:rPr>
                                                    <w:rFonts w:ascii="Arial" w:eastAsia="Times New Roman" w:hAnsi="Arial" w:cs="Arial"/>
                                                    <w:color w:val="2C2A29"/>
                                                    <w:sz w:val="21"/>
                                                    <w:szCs w:val="21"/>
                                                  </w:rPr>
                                                  <w:t>), Kerry Peluso (</w:t>
                                                </w:r>
                                                <w:hyperlink r:id="rId8" w:tooltip="kpeluso@fsu.edu" w:history="1">
                                                  <w:r>
                                                    <w:rPr>
                                                      <w:rStyle w:val="Hyperlink"/>
                                                      <w:rFonts w:ascii="Arial" w:eastAsia="Times New Roman" w:hAnsi="Arial" w:cs="Arial"/>
                                                      <w:color w:val="782F40"/>
                                                      <w:sz w:val="21"/>
                                                      <w:szCs w:val="21"/>
                                                    </w:rPr>
                                                    <w:t>kpeluso@fsu.edu</w:t>
                                                  </w:r>
                                                </w:hyperlink>
                                                <w:r>
                                                  <w:rPr>
                                                    <w:rFonts w:ascii="Arial" w:eastAsia="Times New Roman" w:hAnsi="Arial" w:cs="Arial"/>
                                                    <w:color w:val="2C2A29"/>
                                                    <w:sz w:val="21"/>
                                                    <w:szCs w:val="21"/>
                                                  </w:rPr>
                                                  <w:t>), or Jenn Garye (</w:t>
                                                </w:r>
                                                <w:hyperlink r:id="rId9" w:tooltip="jgarye@fsu.edu" w:history="1">
                                                  <w:r>
                                                    <w:rPr>
                                                      <w:rStyle w:val="Hyperlink"/>
                                                      <w:rFonts w:ascii="Arial" w:eastAsia="Times New Roman" w:hAnsi="Arial" w:cs="Arial"/>
                                                      <w:color w:val="782F40"/>
                                                      <w:sz w:val="21"/>
                                                      <w:szCs w:val="21"/>
                                                    </w:rPr>
                                                    <w:t>jgarye@fsu.edu</w:t>
                                                  </w:r>
                                                </w:hyperlink>
                                                <w:r>
                                                  <w:rPr>
                                                    <w:rFonts w:ascii="Arial" w:eastAsia="Times New Roman" w:hAnsi="Arial" w:cs="Arial"/>
                                                    <w:color w:val="2C2A29"/>
                                                    <w:sz w:val="21"/>
                                                    <w:szCs w:val="21"/>
                                                  </w:rPr>
                                                  <w:t>).</w:t>
                                                </w:r>
                                              </w:p>
                                            </w:tc>
                                          </w:tr>
                                        </w:tbl>
                                        <w:p w14:paraId="2F105A7A" w14:textId="77777777" w:rsidR="00CB3D62" w:rsidRDefault="00CB3D62" w:rsidP="003931BD">
                                          <w:pPr>
                                            <w:spacing w:line="360" w:lineRule="auto"/>
                                            <w:rPr>
                                              <w:rFonts w:ascii="Arial" w:eastAsia="Times New Roman" w:hAnsi="Arial" w:cs="Arial"/>
                                              <w:vanish/>
                                              <w:color w:val="2C2A29"/>
                                              <w:sz w:val="21"/>
                                              <w:szCs w:val="21"/>
                                            </w:rPr>
                                          </w:pPr>
                                        </w:p>
                                        <w:tbl>
                                          <w:tblPr>
                                            <w:tblW w:w="5000" w:type="pct"/>
                                            <w:tblCellMar>
                                              <w:left w:w="0" w:type="dxa"/>
                                              <w:right w:w="0" w:type="dxa"/>
                                            </w:tblCellMar>
                                            <w:tblLook w:val="04A0" w:firstRow="1" w:lastRow="0" w:firstColumn="1" w:lastColumn="0" w:noHBand="0" w:noVBand="1"/>
                                          </w:tblPr>
                                          <w:tblGrid>
                                            <w:gridCol w:w="9060"/>
                                          </w:tblGrid>
                                          <w:tr w:rsidR="00CB3D62" w14:paraId="3D6CC076" w14:textId="77777777" w:rsidTr="003931BD">
                                            <w:trPr>
                                              <w:hidden/>
                                            </w:trPr>
                                            <w:tc>
                                              <w:tcPr>
                                                <w:tcW w:w="0" w:type="auto"/>
                                                <w:tcMar>
                                                  <w:top w:w="150" w:type="dxa"/>
                                                  <w:left w:w="150" w:type="dxa"/>
                                                  <w:bottom w:w="150" w:type="dxa"/>
                                                  <w:right w:w="150" w:type="dxa"/>
                                                </w:tcMar>
                                                <w:vAlign w:val="center"/>
                                                <w:hideMark/>
                                              </w:tcPr>
                                              <w:p w14:paraId="216BBE35" w14:textId="77777777" w:rsidR="00CB3D62" w:rsidRDefault="00CB3D62" w:rsidP="003931BD">
                                                <w:pPr>
                                                  <w:rPr>
                                                    <w:rFonts w:ascii="Arial" w:eastAsia="Times New Roman" w:hAnsi="Arial" w:cs="Arial"/>
                                                    <w:vanish/>
                                                    <w:color w:val="2C2A29"/>
                                                    <w:sz w:val="21"/>
                                                    <w:szCs w:val="21"/>
                                                  </w:rPr>
                                                </w:pPr>
                                              </w:p>
                                            </w:tc>
                                          </w:tr>
                                        </w:tbl>
                                        <w:p w14:paraId="1020341B" w14:textId="77777777" w:rsidR="00CB3D62" w:rsidRDefault="00CB3D62" w:rsidP="003931BD">
                                          <w:pPr>
                                            <w:rPr>
                                              <w:rFonts w:ascii="Times New Roman" w:eastAsia="Times New Roman" w:hAnsi="Times New Roman" w:cs="Times New Roman"/>
                                              <w:color w:val="auto"/>
                                              <w:sz w:val="20"/>
                                              <w:szCs w:val="20"/>
                                            </w:rPr>
                                          </w:pPr>
                                        </w:p>
                                      </w:tc>
                                    </w:tr>
                                  </w:tbl>
                                  <w:p w14:paraId="2742840E" w14:textId="77777777" w:rsidR="00CB3D62" w:rsidRDefault="00CB3D62" w:rsidP="003931BD">
                                    <w:pPr>
                                      <w:rPr>
                                        <w:rFonts w:ascii="Times New Roman" w:eastAsia="Times New Roman" w:hAnsi="Times New Roman" w:cs="Times New Roman"/>
                                        <w:color w:val="auto"/>
                                        <w:sz w:val="20"/>
                                        <w:szCs w:val="20"/>
                                      </w:rPr>
                                    </w:pPr>
                                  </w:p>
                                </w:tc>
                              </w:tr>
                              <w:tr w:rsidR="00CB3D62" w14:paraId="12E4AA20" w14:textId="77777777" w:rsidTr="003931BD">
                                <w:tc>
                                  <w:tcPr>
                                    <w:tcW w:w="0" w:type="auto"/>
                                    <w:hideMark/>
                                  </w:tcPr>
                                  <w:tbl>
                                    <w:tblPr>
                                      <w:tblW w:w="5000" w:type="pct"/>
                                      <w:tblCellMar>
                                        <w:left w:w="0" w:type="dxa"/>
                                        <w:right w:w="0" w:type="dxa"/>
                                      </w:tblCellMar>
                                      <w:tblLook w:val="04A0" w:firstRow="1" w:lastRow="0" w:firstColumn="1" w:lastColumn="0" w:noHBand="0" w:noVBand="1"/>
                                    </w:tblPr>
                                    <w:tblGrid>
                                      <w:gridCol w:w="9060"/>
                                    </w:tblGrid>
                                    <w:tr w:rsidR="00CB3D62" w14:paraId="0D5C6283" w14:textId="77777777" w:rsidTr="003931BD">
                                      <w:tc>
                                        <w:tcPr>
                                          <w:tcW w:w="0" w:type="auto"/>
                                          <w:vAlign w:val="center"/>
                                        </w:tcPr>
                                        <w:tbl>
                                          <w:tblPr>
                                            <w:tblW w:w="5000" w:type="pct"/>
                                            <w:shd w:val="clear" w:color="auto" w:fill="782F40"/>
                                            <w:tblCellMar>
                                              <w:left w:w="0" w:type="dxa"/>
                                              <w:right w:w="0" w:type="dxa"/>
                                            </w:tblCellMar>
                                            <w:tblLook w:val="04A0" w:firstRow="1" w:lastRow="0" w:firstColumn="1" w:lastColumn="0" w:noHBand="0" w:noVBand="1"/>
                                          </w:tblPr>
                                          <w:tblGrid>
                                            <w:gridCol w:w="9060"/>
                                          </w:tblGrid>
                                          <w:tr w:rsidR="00CB3D62" w14:paraId="1AD0514D" w14:textId="77777777" w:rsidTr="003931BD">
                                            <w:tc>
                                              <w:tcPr>
                                                <w:tcW w:w="0" w:type="auto"/>
                                                <w:shd w:val="clear" w:color="auto" w:fill="782F40"/>
                                                <w:vAlign w:val="center"/>
                                                <w:hideMark/>
                                              </w:tcPr>
                                              <w:p w14:paraId="124922FF" w14:textId="77777777" w:rsidR="00CB3D62" w:rsidRDefault="00CB3D62" w:rsidP="003931BD">
                                                <w:pPr>
                                                  <w:spacing w:line="60" w:lineRule="auto"/>
                                                  <w:rPr>
                                                    <w:rFonts w:ascii="Arial" w:eastAsia="Times New Roman" w:hAnsi="Arial" w:cs="Arial"/>
                                                    <w:color w:val="2C2A29"/>
                                                    <w:sz w:val="21"/>
                                                    <w:szCs w:val="21"/>
                                                  </w:rPr>
                                                </w:pPr>
                                                <w:r>
                                                  <w:rPr>
                                                    <w:rFonts w:ascii="Arial" w:eastAsia="Times New Roman" w:hAnsi="Arial" w:cs="Arial"/>
                                                    <w:color w:val="2C2A29"/>
                                                    <w:sz w:val="21"/>
                                                    <w:szCs w:val="21"/>
                                                  </w:rPr>
                                                  <w:lastRenderedPageBreak/>
                                                  <w:t>  </w:t>
                                                </w:r>
                                              </w:p>
                                            </w:tc>
                                          </w:tr>
                                        </w:tbl>
                                        <w:p w14:paraId="44CBC772" w14:textId="77777777" w:rsidR="00CB3D62" w:rsidRDefault="00CB3D62" w:rsidP="003931BD">
                                          <w:pPr>
                                            <w:spacing w:line="360" w:lineRule="auto"/>
                                            <w:rPr>
                                              <w:rFonts w:ascii="Arial" w:eastAsia="Times New Roman" w:hAnsi="Arial" w:cs="Arial"/>
                                              <w:vanish/>
                                              <w:color w:val="2C2A29"/>
                                              <w:sz w:val="21"/>
                                              <w:szCs w:val="21"/>
                                            </w:rPr>
                                          </w:pPr>
                                        </w:p>
                                        <w:tbl>
                                          <w:tblPr>
                                            <w:tblW w:w="5000" w:type="pct"/>
                                            <w:shd w:val="clear" w:color="auto" w:fill="FFFFFF"/>
                                            <w:tblCellMar>
                                              <w:left w:w="0" w:type="dxa"/>
                                              <w:right w:w="0" w:type="dxa"/>
                                            </w:tblCellMar>
                                            <w:tblLook w:val="04A0" w:firstRow="1" w:lastRow="0" w:firstColumn="1" w:lastColumn="0" w:noHBand="0" w:noVBand="1"/>
                                          </w:tblPr>
                                          <w:tblGrid>
                                            <w:gridCol w:w="9060"/>
                                          </w:tblGrid>
                                          <w:tr w:rsidR="00CB3D62" w14:paraId="20519941" w14:textId="77777777" w:rsidTr="003931BD">
                                            <w:tc>
                                              <w:tcPr>
                                                <w:tcW w:w="0" w:type="auto"/>
                                                <w:shd w:val="clear" w:color="auto" w:fill="FFFFFF"/>
                                                <w:tcMar>
                                                  <w:top w:w="30" w:type="dxa"/>
                                                  <w:left w:w="30" w:type="dxa"/>
                                                  <w:bottom w:w="30" w:type="dxa"/>
                                                  <w:right w:w="3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CB3D62" w14:paraId="11344F64" w14:textId="77777777" w:rsidTr="003931BD">
                                                  <w:tc>
                                                    <w:tcPr>
                                                      <w:tcW w:w="5000" w:type="pct"/>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CB3D62" w14:paraId="55D35BDA" w14:textId="77777777" w:rsidTr="003931BD">
                                                        <w:trPr>
                                                          <w:jc w:val="center"/>
                                                        </w:trPr>
                                                        <w:tc>
                                                          <w:tcPr>
                                                            <w:tcW w:w="0" w:type="auto"/>
                                                            <w:tcMar>
                                                              <w:top w:w="0" w:type="dxa"/>
                                                              <w:left w:w="0" w:type="dxa"/>
                                                              <w:bottom w:w="375" w:type="dxa"/>
                                                              <w:right w:w="0" w:type="dxa"/>
                                                            </w:tcMar>
                                                            <w:vAlign w:val="center"/>
                                                            <w:hideMark/>
                                                          </w:tcPr>
                                                          <w:p w14:paraId="58AF3D66" w14:textId="77777777" w:rsidR="00CB3D62" w:rsidRDefault="00CB3D62" w:rsidP="003931BD">
                                                            <w:pPr>
                                                              <w:pStyle w:val="NormalWeb"/>
                                                              <w:spacing w:line="360" w:lineRule="auto"/>
                                                              <w:jc w:val="center"/>
                                                              <w:rPr>
                                                                <w:rFonts w:ascii="Verdana" w:hAnsi="Verdana" w:cs="Arial"/>
                                                                <w:color w:val="959595"/>
                                                                <w:sz w:val="17"/>
                                                                <w:szCs w:val="17"/>
                                                              </w:rPr>
                                                            </w:pPr>
                                                            <w:r>
                                                              <w:rPr>
                                                                <w:rFonts w:ascii="Verdana" w:hAnsi="Verdana" w:cs="Arial"/>
                                                                <w:color w:val="2C2A29"/>
                                                                <w:sz w:val="17"/>
                                                                <w:szCs w:val="17"/>
                                                              </w:rPr>
                                                              <w:t>This email was sent by Florida State University</w:t>
                                                            </w:r>
                                                            <w:r>
                                                              <w:rPr>
                                                                <w:rFonts w:ascii="Verdana" w:hAnsi="Verdana" w:cs="Arial"/>
                                                                <w:color w:val="959595"/>
                                                                <w:sz w:val="17"/>
                                                                <w:szCs w:val="17"/>
                                                              </w:rPr>
                                                              <w:br/>
                                                            </w:r>
                                                            <w:r>
                                                              <w:rPr>
                                                                <w:rFonts w:ascii="Verdana" w:hAnsi="Verdana" w:cs="Arial"/>
                                                                <w:color w:val="2C2A29"/>
                                                                <w:sz w:val="17"/>
                                                                <w:szCs w:val="17"/>
                                                              </w:rPr>
                                                              <w:t>222 S Copeland Street Tallahassee, FL, 32306, US</w:t>
                                                            </w:r>
                                                            <w:r>
                                                              <w:rPr>
                                                                <w:rFonts w:ascii="Verdana" w:hAnsi="Verdana" w:cs="Arial"/>
                                                                <w:color w:val="959595"/>
                                                                <w:sz w:val="17"/>
                                                                <w:szCs w:val="17"/>
                                                              </w:rPr>
                                                              <w:br/>
                                                            </w:r>
                                                            <w:r>
                                                              <w:rPr>
                                                                <w:rFonts w:ascii="Verdana" w:hAnsi="Verdana" w:cs="Arial"/>
                                                                <w:color w:val="959595"/>
                                                                <w:sz w:val="17"/>
                                                                <w:szCs w:val="17"/>
                                                              </w:rPr>
                                                              <w:br/>
                                                            </w:r>
                                                            <w:r>
                                                              <w:rPr>
                                                                <w:rFonts w:ascii="Verdana" w:hAnsi="Verdana" w:cs="Arial"/>
                                                                <w:color w:val="2C2A29"/>
                                                                <w:sz w:val="17"/>
                                                                <w:szCs w:val="17"/>
                                                              </w:rPr>
                                                              <w:t>© Florida State University 2023</w:t>
                                                            </w:r>
                                                            <w:r>
                                                              <w:rPr>
                                                                <w:rFonts w:ascii="Verdana" w:hAnsi="Verdana" w:cs="Arial"/>
                                                                <w:color w:val="959595"/>
                                                                <w:sz w:val="17"/>
                                                                <w:szCs w:val="17"/>
                                                              </w:rPr>
                                                              <w:br/>
                                                            </w:r>
                                                          </w:p>
                                                        </w:tc>
                                                      </w:tr>
                                                    </w:tbl>
                                                    <w:p w14:paraId="2877A652" w14:textId="77777777" w:rsidR="00CB3D62" w:rsidRDefault="00CB3D62" w:rsidP="003931BD">
                                                      <w:pPr>
                                                        <w:jc w:val="center"/>
                                                        <w:rPr>
                                                          <w:rFonts w:ascii="Times New Roman" w:eastAsia="Times New Roman" w:hAnsi="Times New Roman" w:cs="Times New Roman"/>
                                                          <w:color w:val="auto"/>
                                                          <w:sz w:val="20"/>
                                                          <w:szCs w:val="20"/>
                                                        </w:rPr>
                                                      </w:pPr>
                                                    </w:p>
                                                  </w:tc>
                                                </w:tr>
                                              </w:tbl>
                                              <w:p w14:paraId="1ED65A44" w14:textId="77777777" w:rsidR="00CB3D62" w:rsidRDefault="00CB3D62" w:rsidP="003931BD">
                                                <w:pPr>
                                                  <w:rPr>
                                                    <w:rFonts w:ascii="Times New Roman" w:eastAsia="Times New Roman" w:hAnsi="Times New Roman" w:cs="Times New Roman"/>
                                                    <w:color w:val="auto"/>
                                                    <w:sz w:val="20"/>
                                                    <w:szCs w:val="20"/>
                                                  </w:rPr>
                                                </w:pPr>
                                              </w:p>
                                            </w:tc>
                                          </w:tr>
                                        </w:tbl>
                                        <w:p w14:paraId="75710F14" w14:textId="77777777" w:rsidR="00CB3D62" w:rsidRDefault="00CB3D62" w:rsidP="003931BD">
                                          <w:pPr>
                                            <w:rPr>
                                              <w:rFonts w:ascii="Times New Roman" w:eastAsia="Times New Roman" w:hAnsi="Times New Roman" w:cs="Times New Roman"/>
                                              <w:color w:val="auto"/>
                                              <w:sz w:val="20"/>
                                              <w:szCs w:val="20"/>
                                            </w:rPr>
                                          </w:pPr>
                                        </w:p>
                                      </w:tc>
                                    </w:tr>
                                  </w:tbl>
                                  <w:p w14:paraId="2C3BF2F7" w14:textId="77777777" w:rsidR="00CB3D62" w:rsidRDefault="00CB3D62" w:rsidP="003931BD">
                                    <w:pPr>
                                      <w:rPr>
                                        <w:rFonts w:ascii="Times New Roman" w:eastAsia="Times New Roman" w:hAnsi="Times New Roman" w:cs="Times New Roman"/>
                                        <w:color w:val="auto"/>
                                        <w:sz w:val="20"/>
                                        <w:szCs w:val="20"/>
                                      </w:rPr>
                                    </w:pPr>
                                  </w:p>
                                </w:tc>
                              </w:tr>
                            </w:tbl>
                            <w:p w14:paraId="695F5089" w14:textId="77777777" w:rsidR="00CB3D62" w:rsidRDefault="00CB3D62" w:rsidP="003931BD">
                              <w:pPr>
                                <w:rPr>
                                  <w:rFonts w:ascii="Times New Roman" w:eastAsia="Times New Roman" w:hAnsi="Times New Roman" w:cs="Times New Roman"/>
                                  <w:color w:val="auto"/>
                                  <w:sz w:val="20"/>
                                  <w:szCs w:val="20"/>
                                </w:rPr>
                              </w:pPr>
                            </w:p>
                          </w:tc>
                        </w:tr>
                      </w:tbl>
                      <w:p w14:paraId="35BE11C4" w14:textId="77777777" w:rsidR="00CB3D62" w:rsidRDefault="00CB3D62" w:rsidP="003931BD">
                        <w:pPr>
                          <w:rPr>
                            <w:rFonts w:ascii="Times New Roman" w:eastAsia="Times New Roman" w:hAnsi="Times New Roman" w:cs="Times New Roman"/>
                            <w:color w:val="auto"/>
                            <w:sz w:val="20"/>
                            <w:szCs w:val="20"/>
                          </w:rPr>
                        </w:pPr>
                      </w:p>
                    </w:tc>
                  </w:tr>
                </w:tbl>
                <w:p w14:paraId="6FF738EF" w14:textId="77777777" w:rsidR="00CB3D62" w:rsidRDefault="00CB3D62" w:rsidP="003931BD">
                  <w:pPr>
                    <w:rPr>
                      <w:rFonts w:ascii="Times New Roman" w:eastAsia="Times New Roman" w:hAnsi="Times New Roman" w:cs="Times New Roman"/>
                      <w:color w:val="auto"/>
                      <w:sz w:val="20"/>
                      <w:szCs w:val="20"/>
                    </w:rPr>
                  </w:pPr>
                </w:p>
              </w:tc>
            </w:tr>
          </w:tbl>
          <w:p w14:paraId="703A239A" w14:textId="77777777" w:rsidR="00CB3D62" w:rsidRDefault="00CB3D62" w:rsidP="003931BD">
            <w:pPr>
              <w:jc w:val="center"/>
              <w:rPr>
                <w:rFonts w:ascii="Times New Roman" w:eastAsia="Times New Roman" w:hAnsi="Times New Roman" w:cs="Times New Roman"/>
                <w:color w:val="auto"/>
                <w:sz w:val="20"/>
                <w:szCs w:val="20"/>
              </w:rPr>
            </w:pPr>
          </w:p>
        </w:tc>
      </w:tr>
      <w:tr w:rsidR="00CB3D62" w14:paraId="630E6211" w14:textId="77777777" w:rsidTr="003931BD">
        <w:trPr>
          <w:jc w:val="center"/>
        </w:trPr>
        <w:tc>
          <w:tcPr>
            <w:tcW w:w="0" w:type="auto"/>
            <w:hideMark/>
          </w:tcPr>
          <w:p w14:paraId="74AE7012" w14:textId="77777777" w:rsidR="00CB3D62" w:rsidRDefault="00CB3D62" w:rsidP="003931BD">
            <w:pPr>
              <w:rPr>
                <w:rFonts w:ascii="Times New Roman" w:eastAsia="Times New Roman" w:hAnsi="Times New Roman" w:cs="Times New Roman"/>
                <w:color w:val="auto"/>
                <w:sz w:val="20"/>
                <w:szCs w:val="20"/>
              </w:rPr>
            </w:pPr>
          </w:p>
        </w:tc>
      </w:tr>
    </w:tbl>
    <w:p w14:paraId="736CFB79" w14:textId="77777777" w:rsidR="00CB3D62" w:rsidRDefault="00CB3D62"/>
    <w:sectPr w:rsidR="00CB3D62" w:rsidSect="00CB3D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07204"/>
    <w:multiLevelType w:val="multilevel"/>
    <w:tmpl w:val="CD5CC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8E4D12"/>
    <w:multiLevelType w:val="multilevel"/>
    <w:tmpl w:val="BEC41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5177090">
    <w:abstractNumId w:val="1"/>
    <w:lvlOverride w:ilvl="0"/>
    <w:lvlOverride w:ilvl="1"/>
    <w:lvlOverride w:ilvl="2"/>
    <w:lvlOverride w:ilvl="3"/>
    <w:lvlOverride w:ilvl="4"/>
    <w:lvlOverride w:ilvl="5"/>
    <w:lvlOverride w:ilvl="6"/>
    <w:lvlOverride w:ilvl="7"/>
    <w:lvlOverride w:ilvl="8"/>
  </w:num>
  <w:num w:numId="2" w16cid:durableId="118266798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62"/>
    <w:rsid w:val="00CB3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2FD0"/>
  <w15:chartTrackingRefBased/>
  <w15:docId w15:val="{7E704965-FEC8-4365-850E-3BAB4355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D62"/>
    <w:pPr>
      <w:spacing w:after="0" w:line="240" w:lineRule="auto"/>
    </w:pPr>
    <w:rPr>
      <w:rFonts w:ascii="Calibri" w:hAnsi="Calibri" w:cs="Calibri"/>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3D62"/>
    <w:rPr>
      <w:color w:val="0000FF"/>
      <w:u w:val="single"/>
    </w:rPr>
  </w:style>
  <w:style w:type="paragraph" w:styleId="NormalWeb">
    <w:name w:val="Normal (Web)"/>
    <w:basedOn w:val="Normal"/>
    <w:uiPriority w:val="99"/>
    <w:semiHidden/>
    <w:unhideWhenUsed/>
    <w:rsid w:val="00CB3D62"/>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eluso@fsu.edu?subject=" TargetMode="External"/><Relationship Id="rId3" Type="http://schemas.openxmlformats.org/officeDocument/2006/relationships/settings" Target="settings.xml"/><Relationship Id="rId7" Type="http://schemas.openxmlformats.org/officeDocument/2006/relationships/hyperlink" Target="mailto:stacey@fsu.edu?sub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view.message.fsu.edu/?qs=823ed9d47989d3cb522fc35dfa2a7831c5d11ba35f662462b457ff75e3bf8046dbd99a291d00a6ceda1dbbc6401aa93fd3ec4aaaf84ab237467376dedd14c0a485342558132f7a353a219714ac322c2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garye@fsu.edu?sub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2023-08-24T15:28:00Z</dcterms:created>
  <dcterms:modified xsi:type="dcterms:W3CDTF">2023-08-24T15:28:00Z</dcterms:modified>
</cp:coreProperties>
</file>